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Default Extension="bmp" ContentType="image/bmp"/>
  <Default Extension="jpg" ContentType="image/jpeg"/>
  <Default Extension="jpeg" ContentType="image/jpeg"/>
  <Default Extension="jpe" ContentType="image/jpeg"/>
  <Default Extension="jfif" ContentType="image/jpeg"/>
  <Default Extension="gif" ContentType="image/gif"/>
  <Default Extension="svg" ContentType="image/svg"/>
  <Default Extension="tif" ContentType="image/tiff"/>
  <Default Extension="tiff" ContentType="image/tiff"/>
  <Default Extension="png" ContentType="image/png"/>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6C074">
      <w:pPr>
        <w:rPr>
          <w:rFonts w:hint="eastAsia" w:ascii="仿宋_GB2312" w:eastAsia="仿宋_GB2312" w:cs="ArialUnicodeMS"/>
          <w:kern w:val="0"/>
          <w:sz w:val="32"/>
          <w:szCs w:val="32"/>
        </w:rPr>
      </w:pPr>
    </w:p>
    <w:p w14:paraId="2239EADC">
      <w:pPr>
        <w:rPr>
          <w:rFonts w:hint="eastAsia" w:ascii="黑体" w:eastAsia="黑体" w:cs="ArialUnicodeMS"/>
          <w:kern w:val="0"/>
          <w:sz w:val="72"/>
          <w:szCs w:val="72"/>
        </w:rPr>
      </w:pPr>
    </w:p>
    <w:p w14:paraId="617D03E2">
      <w:pPr>
        <w:rPr>
          <w:rFonts w:hint="eastAsia" w:ascii="黑体" w:eastAsia="黑体" w:cs="ArialUnicodeMS"/>
          <w:kern w:val="0"/>
          <w:sz w:val="72"/>
          <w:szCs w:val="72"/>
        </w:rPr>
      </w:pPr>
    </w:p>
    <w:p w14:paraId="5E0D2080">
      <w:pPr>
        <w:keepNext w:val="0"/>
        <w:keepLines w:val="0"/>
        <w:pageBreakBefore w:val="0"/>
        <w:widowControl w:val="0"/>
        <w:kinsoku/>
        <w:wordWrap/>
        <w:overflowPunct/>
        <w:topLinePunct w:val="0"/>
        <w:autoSpaceDE/>
        <w:autoSpaceDN/>
        <w:bidi w:val="0"/>
        <w:adjustRightInd/>
        <w:snapToGrid/>
        <w:spacing w:line="1200" w:lineRule="auto"/>
        <w:jc w:val="center"/>
        <w:textAlignment w:val="auto"/>
        <w:rPr>
          <w:rFonts w:hint="default" w:ascii="黑体" w:hAnsi="黑体" w:eastAsia="黑体"/>
          <w:bCs/>
          <w:color w:val="000000"/>
          <w:sz w:val="72"/>
          <w:szCs w:val="72"/>
          <w:u w:val="none"/>
          <w:lang w:val="en-US"/>
        </w:rPr>
      </w:pPr>
      <w:r>
        <w:rPr>
          <w:rFonts w:hint="eastAsia" w:ascii="黑体" w:eastAsia="黑体" w:cs="ArialUnicodeMS"/>
          <w:color w:val="0000FF"/>
          <w:kern w:val="0"/>
          <w:sz w:val="72"/>
          <w:szCs w:val="72"/>
          <w:u w:val="none"/>
          <w:lang w:val="en-US" w:eastAsia="zh-CN"/>
        </w:rPr>
        <w:t xml:space="preserve"> </w:t>
      </w:r>
      <w:r>
        <w:rPr>
          <w:rFonts w:hint="eastAsia" w:ascii="黑体" w:eastAsia="黑体" w:cs="ArialUnicodeMS"/>
          <w:color w:val="000000" w:themeColor="text1"/>
          <w:kern w:val="0"/>
          <w:sz w:val="72"/>
          <w:szCs w:val="72"/>
          <w:u w:val="none"/>
          <w:shd w:val="clear" w:color="auto" w:fill="auto"/>
          <w:lang w:val="en-US" w:eastAsia="zh-CN"/>
          <w14:textFill>
            <w14:solidFill>
              <w14:schemeClr w14:val="tx1"/>
            </w14:solidFill>
          </w14:textFill>
        </w:rPr>
        <w:t>百色市信访局</w:t>
      </w:r>
      <w:r>
        <w:rPr>
          <w:rFonts w:hint="eastAsia" w:ascii="黑体" w:eastAsia="黑体" w:cs="ArialUnicodeMS"/>
          <w:color w:val="0000FF"/>
          <w:kern w:val="0"/>
          <w:sz w:val="72"/>
          <w:szCs w:val="72"/>
          <w:u w:val="none"/>
          <w:lang w:val="en-US" w:eastAsia="zh-CN"/>
        </w:rPr>
        <w:t xml:space="preserve"> </w:t>
      </w:r>
      <w:r>
        <w:rPr>
          <w:rFonts w:hint="eastAsia" w:ascii="黑体" w:eastAsia="黑体" w:cs="ArialUnicodeMS"/>
          <w:color w:val="0000FF"/>
          <w:kern w:val="0"/>
          <w:sz w:val="72"/>
          <w:szCs w:val="72"/>
          <w:u w:val="none"/>
          <w:lang w:val="en-US" w:eastAsia="zh-CN"/>
        </w:rPr>
        <w:fldChar w:fldCharType="begin"/>
      </w:r>
      <w:r>
        <w:rPr>
          <w:rFonts w:hint="eastAsia" w:ascii="黑体" w:eastAsia="黑体" w:cs="ArialUnicodeMS"/>
          <w:color w:val="0000FF"/>
          <w:kern w:val="0"/>
          <w:sz w:val="72"/>
          <w:szCs w:val="72"/>
          <w:u w:val="none"/>
          <w:lang w:val="en-US" w:eastAsia="zh-CN"/>
        </w:rPr>
        <w:instrText xml:space="preserve">  </w:instrText>
      </w:r>
      <w:r>
        <w:rPr>
          <w:rFonts w:hint="eastAsia" w:ascii="黑体" w:eastAsia="黑体" w:cs="ArialUnicodeMS"/>
          <w:color w:val="0000FF"/>
          <w:kern w:val="0"/>
          <w:sz w:val="72"/>
          <w:szCs w:val="72"/>
          <w:u w:val="none"/>
          <w:lang w:val="en-US" w:eastAsia="zh-CN"/>
        </w:rPr>
        <w:fldChar w:fldCharType="end"/>
      </w:r>
    </w:p>
    <w:p w14:paraId="4C42D882">
      <w:pPr>
        <w:keepNext w:val="0"/>
        <w:keepLines w:val="0"/>
        <w:pageBreakBefore w:val="0"/>
        <w:widowControl w:val="0"/>
        <w:kinsoku/>
        <w:wordWrap/>
        <w:overflowPunct/>
        <w:topLinePunct w:val="0"/>
        <w:autoSpaceDE/>
        <w:autoSpaceDN/>
        <w:bidi w:val="0"/>
        <w:adjustRightInd/>
        <w:snapToGrid/>
        <w:spacing w:line="1200" w:lineRule="auto"/>
        <w:jc w:val="center"/>
        <w:textAlignment w:val="auto"/>
        <w:rPr>
          <w:rFonts w:hint="eastAsia" w:ascii="黑体" w:eastAsia="黑体" w:cs="ArialUnicodeMS"/>
          <w:color w:val="auto"/>
          <w:kern w:val="0"/>
          <w:sz w:val="72"/>
          <w:szCs w:val="72"/>
        </w:rPr>
      </w:pPr>
      <w:r>
        <w:rPr>
          <w:rFonts w:hint="eastAsia" w:ascii="黑体" w:eastAsia="黑体"/>
          <w:color w:val="000000" w:themeColor="text1"/>
          <w:kern w:val="0"/>
          <w:sz w:val="72"/>
          <w:szCs w:val="72"/>
          <w:u w:val="none"/>
          <w:lang w:val="en-US" w:eastAsia="zh-CN"/>
          <w14:textFill>
            <w14:solidFill>
              <w14:schemeClr w14:val="tx1"/>
            </w14:solidFill>
          </w14:textFill>
        </w:rPr>
        <w:t>2024</w:t>
      </w:r>
      <w:r>
        <w:rPr>
          <w:rFonts w:hint="eastAsia" w:ascii="黑体" w:eastAsia="黑体" w:cs="ArialUnicodeMS"/>
          <w:kern w:val="0"/>
          <w:sz w:val="72"/>
          <w:szCs w:val="72"/>
        </w:rPr>
        <w:t>年</w:t>
      </w:r>
      <w:r>
        <w:rPr>
          <w:rFonts w:hint="eastAsia" w:ascii="黑体" w:eastAsia="黑体" w:cs="ArialUnicodeMS"/>
          <w:kern w:val="0"/>
          <w:sz w:val="72"/>
          <w:szCs w:val="72"/>
          <w:lang w:val="en-US" w:eastAsia="zh-CN"/>
        </w:rPr>
        <w:t>度</w:t>
      </w:r>
      <w:r>
        <w:rPr>
          <w:rFonts w:hint="eastAsia" w:ascii="黑体" w:eastAsia="黑体" w:cs="ArialUnicodeMS"/>
          <w:kern w:val="0"/>
          <w:sz w:val="72"/>
          <w:szCs w:val="72"/>
          <w:lang w:val="en-US" w:eastAsia="zh-CN"/>
        </w:rPr>
        <w:t/>
      </w:r>
      <w:r>
        <w:rPr>
          <w:rFonts w:hint="eastAsia" w:ascii="黑体" w:eastAsia="黑体" w:cs="ArialUnicodeMS"/>
          <w:kern w:val="0"/>
          <w:sz w:val="72"/>
          <w:szCs w:val="72"/>
          <w:lang w:val="en-US" w:eastAsia="zh-CN"/>
        </w:rPr>
        <w:t/>
      </w:r>
      <w:bookmarkStart w:id="18" w:name="_GoBack"/>
      <w:bookmarkEnd w:id="18"/>
      <w:r>
        <w:rPr>
          <w:rFonts w:hint="eastAsia" w:ascii="黑体" w:eastAsia="黑体" w:cs="ArialUnicodeMS"/>
          <w:kern w:val="0"/>
          <w:sz w:val="72"/>
          <w:szCs w:val="72"/>
        </w:rPr>
        <w:t>部门</w:t>
      </w:r>
      <w:r>
        <w:rPr>
          <w:rFonts w:hint="eastAsia" w:ascii="黑体" w:eastAsia="黑体" w:cs="ArialUnicodeMS"/>
          <w:kern w:val="0"/>
          <w:sz w:val="72"/>
          <w:szCs w:val="72"/>
          <w:lang w:val="en-US" w:eastAsia="zh-CN"/>
        </w:rPr>
        <w:t/>
      </w:r>
      <w:r>
        <w:rPr>
          <w:rFonts w:hint="eastAsia" w:ascii="黑体" w:eastAsia="黑体" w:cs="ArialUnicodeMS"/>
          <w:kern w:val="0"/>
          <w:sz w:val="72"/>
          <w:szCs w:val="72"/>
        </w:rPr>
        <w:t>决算</w:t>
      </w:r>
    </w:p>
    <w:p w14:paraId="6775DC3F">
      <w:pPr>
        <w:rPr>
          <w:rFonts w:hint="eastAsia" w:ascii="ArialUnicodeMS" w:eastAsia="ArialUnicodeMS" w:cs="ArialUnicodeMS"/>
          <w:kern w:val="0"/>
          <w:sz w:val="84"/>
          <w:szCs w:val="84"/>
        </w:rPr>
      </w:pPr>
    </w:p>
    <w:p w14:paraId="55EEA8F9">
      <w:pPr>
        <w:rPr>
          <w:rFonts w:hint="eastAsia" w:ascii="ArialUnicodeMS" w:eastAsia="ArialUnicodeMS" w:cs="ArialUnicodeMS"/>
          <w:kern w:val="0"/>
          <w:sz w:val="84"/>
          <w:szCs w:val="84"/>
        </w:rPr>
      </w:pPr>
    </w:p>
    <w:p w14:paraId="6EABFD9D">
      <w:pPr>
        <w:rPr>
          <w:rFonts w:hint="eastAsia" w:ascii="方正小标宋简体" w:eastAsia="方正小标宋简体"/>
          <w:b/>
          <w:sz w:val="44"/>
          <w:szCs w:val="44"/>
        </w:rPr>
      </w:pPr>
      <w:r>
        <w:rPr>
          <w:rFonts w:hint="eastAsia" w:ascii="方正小标宋简体" w:eastAsia="方正小标宋简体"/>
          <w:b/>
          <w:sz w:val="44"/>
          <w:szCs w:val="44"/>
        </w:rPr>
        <w:br w:type="page"/>
      </w:r>
    </w:p>
    <w:p w14:paraId="663CDE33">
      <w:pPr>
        <w:ind w:firstLine="646"/>
        <w:jc w:val="center"/>
        <w:rPr>
          <w:rFonts w:hint="eastAsia" w:ascii="方正小标宋简体" w:eastAsia="方正小标宋简体"/>
          <w:b/>
          <w:sz w:val="44"/>
          <w:szCs w:val="44"/>
        </w:rPr>
      </w:pPr>
      <w:r>
        <w:rPr>
          <w:rFonts w:hint="eastAsia" w:ascii="方正小标宋简体" w:eastAsia="方正小标宋简体"/>
          <w:b/>
          <w:sz w:val="44"/>
          <w:szCs w:val="44"/>
        </w:rPr>
        <w:t>目    录</w:t>
      </w:r>
    </w:p>
    <w:p w14:paraId="4C7E7F5D">
      <w:pPr>
        <w:rPr>
          <w:rFonts w:hint="eastAsia" w:ascii="仿宋_GB2312" w:eastAsia="仿宋_GB2312"/>
          <w:b/>
          <w:sz w:val="32"/>
          <w:szCs w:val="32"/>
        </w:rPr>
      </w:pPr>
    </w:p>
    <w:p w14:paraId="69164A39">
      <w:pPr>
        <w:ind w:firstLine="645"/>
        <w:rPr>
          <w:rFonts w:hint="eastAsia"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themeColor="text1"/>
          <w:sz w:val="32"/>
          <w:szCs w:val="32"/>
          <w:u w:val="none"/>
          <w:lang w:val="en-US" w:eastAsia="zh-CN"/>
          <w14:textFill>
            <w14:solidFill>
              <w14:schemeClr w14:val="tx1"/>
            </w14:solidFill>
          </w14:textFill>
        </w:rPr>
        <w:t>百色市信访局</w:t>
      </w:r>
      <w:r>
        <w:rPr>
          <w:rFonts w:hint="eastAsia" w:ascii="黑体" w:hAnsi="黑体" w:eastAsia="黑体"/>
          <w:bCs/>
          <w:color w:val="0000FF"/>
          <w:sz w:val="32"/>
          <w:szCs w:val="32"/>
          <w:u w:val="none"/>
          <w:lang w:val="en-US" w:eastAsia="zh-CN"/>
        </w:rPr>
        <w:t xml:space="preserve"> </w:t>
      </w:r>
      <w:r>
        <w:rPr>
          <w:rFonts w:hint="eastAsia" w:ascii="黑体" w:hAnsi="黑体" w:eastAsia="黑体"/>
          <w:sz w:val="32"/>
          <w:szCs w:val="32"/>
        </w:rPr>
        <w:t>概况</w:t>
      </w:r>
    </w:p>
    <w:p w14:paraId="183D9048">
      <w:pPr>
        <w:ind w:firstLine="645"/>
        <w:rPr>
          <w:rFonts w:hint="default" w:ascii="仿宋_GB2312" w:eastAsia="仿宋_GB2312"/>
          <w:sz w:val="32"/>
          <w:szCs w:val="32"/>
          <w:lang w:val="en-US" w:eastAsia="zh-CN"/>
        </w:rPr>
      </w:pPr>
      <w:r>
        <w:rPr>
          <w:rFonts w:hint="eastAsia" w:ascii="仿宋_GB2312" w:eastAsia="仿宋_GB2312"/>
          <w:sz w:val="32"/>
          <w:szCs w:val="32"/>
        </w:rPr>
        <w:t>一、</w:t>
      </w:r>
      <w:r>
        <w:rPr>
          <w:rFonts w:hint="eastAsia" w:ascii="仿宋_GB2312" w:eastAsia="仿宋_GB2312"/>
          <w:sz w:val="32"/>
          <w:szCs w:val="32"/>
          <w:lang w:val="en-US" w:eastAsia="zh-CN"/>
        </w:rPr>
        <w:t>本部门职责</w:t>
      </w:r>
    </w:p>
    <w:p w14:paraId="1C9AADE2">
      <w:pPr>
        <w:ind w:firstLine="645"/>
        <w:rPr>
          <w:rFonts w:hint="default" w:ascii="仿宋_GB2312" w:eastAsia="仿宋_GB2312"/>
          <w:sz w:val="32"/>
          <w:szCs w:val="32"/>
          <w:lang w:val="en-US" w:eastAsia="zh-CN"/>
        </w:rPr>
      </w:pPr>
      <w:r>
        <w:rPr>
          <w:rFonts w:hint="eastAsia" w:ascii="仿宋_GB2312" w:eastAsia="仿宋_GB2312"/>
          <w:sz w:val="32"/>
          <w:szCs w:val="32"/>
        </w:rPr>
        <w:t>二、</w:t>
      </w:r>
      <w:r>
        <w:rPr>
          <w:rFonts w:hint="eastAsia" w:ascii="仿宋_GB2312" w:eastAsia="仿宋_GB2312"/>
          <w:sz w:val="32"/>
          <w:szCs w:val="32"/>
          <w:lang w:val="en-US" w:eastAsia="zh-CN"/>
        </w:rPr>
        <w:t>机构设置情况</w:t>
      </w:r>
    </w:p>
    <w:p w14:paraId="0704B045">
      <w:pPr>
        <w:ind w:firstLine="645"/>
        <w:rPr>
          <w:rFonts w:hint="eastAsia"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themeColor="text1"/>
          <w:sz w:val="32"/>
          <w:szCs w:val="32"/>
          <w:u w:val="none"/>
          <w:lang w:val="en-US" w:eastAsia="zh-CN"/>
          <w14:textFill>
            <w14:solidFill>
              <w14:schemeClr w14:val="tx1"/>
            </w14:solidFill>
          </w14:textFill>
        </w:rPr>
        <w:t>百色市信访局</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年度部门决算报表</w:t>
      </w:r>
    </w:p>
    <w:p w14:paraId="45CAED70">
      <w:pPr>
        <w:ind w:left="645"/>
        <w:rPr>
          <w:rFonts w:hint="eastAsia" w:ascii="仿宋_GB2312" w:eastAsia="仿宋_GB2312"/>
          <w:sz w:val="32"/>
          <w:szCs w:val="32"/>
        </w:rPr>
      </w:pPr>
      <w:r>
        <w:rPr>
          <w:rFonts w:hint="eastAsia" w:ascii="仿宋_GB2312" w:eastAsia="仿宋_GB2312"/>
          <w:sz w:val="32"/>
          <w:szCs w:val="32"/>
        </w:rPr>
        <w:t>表一：收入支出决算总表</w:t>
      </w:r>
    </w:p>
    <w:p w14:paraId="0AA170FF">
      <w:pPr>
        <w:ind w:left="645"/>
        <w:rPr>
          <w:rFonts w:hint="eastAsia" w:ascii="仿宋_GB2312" w:eastAsia="仿宋_GB2312"/>
          <w:sz w:val="32"/>
          <w:szCs w:val="32"/>
        </w:rPr>
      </w:pPr>
      <w:r>
        <w:rPr>
          <w:rFonts w:hint="eastAsia" w:ascii="仿宋_GB2312" w:eastAsia="仿宋_GB2312"/>
          <w:sz w:val="32"/>
          <w:szCs w:val="32"/>
        </w:rPr>
        <w:t>表二：收入决算表</w:t>
      </w:r>
    </w:p>
    <w:p w14:paraId="7E5980B8">
      <w:pPr>
        <w:ind w:left="645"/>
        <w:rPr>
          <w:rFonts w:hint="eastAsia" w:ascii="仿宋_GB2312" w:eastAsia="仿宋_GB2312"/>
          <w:sz w:val="32"/>
          <w:szCs w:val="32"/>
        </w:rPr>
      </w:pPr>
      <w:r>
        <w:rPr>
          <w:rFonts w:hint="eastAsia" w:ascii="仿宋_GB2312" w:eastAsia="仿宋_GB2312"/>
          <w:sz w:val="32"/>
          <w:szCs w:val="32"/>
        </w:rPr>
        <w:t>表三：支出决算表</w:t>
      </w:r>
    </w:p>
    <w:p w14:paraId="74007B5B">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73CB3443">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2843A84C">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w:t>
      </w:r>
      <w:r>
        <w:rPr>
          <w:rFonts w:hint="eastAsia" w:ascii="仿宋_GB2312" w:eastAsia="仿宋_GB2312"/>
          <w:sz w:val="32"/>
          <w:szCs w:val="32"/>
          <w:lang w:eastAsia="zh-CN"/>
        </w:rPr>
        <w:t>明细</w:t>
      </w:r>
      <w:r>
        <w:rPr>
          <w:rFonts w:hint="eastAsia" w:ascii="仿宋_GB2312" w:eastAsia="仿宋_GB2312"/>
          <w:sz w:val="32"/>
          <w:szCs w:val="32"/>
        </w:rPr>
        <w:t>表</w:t>
      </w:r>
    </w:p>
    <w:p w14:paraId="6DCA71AD">
      <w:pPr>
        <w:ind w:left="645"/>
        <w:rPr>
          <w:rFonts w:hint="eastAsia" w:ascii="仿宋_GB2312" w:eastAsia="仿宋_GB2312"/>
          <w:sz w:val="32"/>
          <w:szCs w:val="32"/>
        </w:rPr>
      </w:pPr>
      <w:r>
        <w:rPr>
          <w:rFonts w:hint="eastAsia" w:ascii="仿宋_GB2312" w:eastAsia="仿宋_GB2312"/>
          <w:sz w:val="32"/>
          <w:szCs w:val="32"/>
        </w:rPr>
        <w:t>表七：</w:t>
      </w:r>
      <w:r>
        <w:rPr>
          <w:rFonts w:hint="eastAsia" w:ascii="仿宋_GB2312" w:eastAsia="仿宋_GB2312"/>
          <w:sz w:val="32"/>
          <w:szCs w:val="32"/>
          <w:lang w:val="en-US" w:eastAsia="zh-CN"/>
        </w:rPr>
        <w:t>政府性基金预算财政拨款收入</w:t>
      </w:r>
      <w:r>
        <w:rPr>
          <w:rFonts w:hint="eastAsia" w:ascii="仿宋_GB2312" w:eastAsia="仿宋_GB2312"/>
          <w:sz w:val="32"/>
          <w:szCs w:val="32"/>
        </w:rPr>
        <w:t>支出决算表</w:t>
      </w:r>
    </w:p>
    <w:p w14:paraId="2A0B985B">
      <w:pPr>
        <w:ind w:left="645"/>
        <w:rPr>
          <w:rFonts w:hint="eastAsia" w:ascii="仿宋_GB2312" w:eastAsia="仿宋_GB2312"/>
          <w:sz w:val="32"/>
          <w:szCs w:val="32"/>
        </w:rPr>
      </w:pPr>
      <w:r>
        <w:rPr>
          <w:rFonts w:hint="eastAsia" w:ascii="仿宋_GB2312" w:eastAsia="仿宋_GB2312"/>
          <w:sz w:val="32"/>
          <w:szCs w:val="32"/>
        </w:rPr>
        <w:t>表八：</w:t>
      </w:r>
      <w:r>
        <w:rPr>
          <w:rFonts w:hint="eastAsia" w:ascii="仿宋_GB2312" w:eastAsia="仿宋_GB2312"/>
          <w:sz w:val="32"/>
          <w:szCs w:val="32"/>
          <w:lang w:val="en-US" w:eastAsia="zh-CN"/>
        </w:rPr>
        <w:t>国有资本经营预算财政拨款</w:t>
      </w:r>
      <w:r>
        <w:rPr>
          <w:rFonts w:hint="eastAsia" w:ascii="仿宋_GB2312" w:eastAsia="仿宋_GB2312"/>
          <w:sz w:val="32"/>
          <w:szCs w:val="32"/>
        </w:rPr>
        <w:t>支出决算表</w:t>
      </w:r>
    </w:p>
    <w:p w14:paraId="4E525795">
      <w:pPr>
        <w:ind w:left="645"/>
        <w:rPr>
          <w:rFonts w:hint="eastAsia" w:ascii="仿宋_GB2312" w:eastAsia="仿宋_GB2312"/>
          <w:sz w:val="32"/>
          <w:szCs w:val="32"/>
        </w:rPr>
      </w:pPr>
      <w:r>
        <w:rPr>
          <w:rFonts w:hint="eastAsia" w:ascii="仿宋_GB2312" w:eastAsia="仿宋_GB2312"/>
          <w:sz w:val="32"/>
          <w:szCs w:val="32"/>
        </w:rPr>
        <w:t>表九：</w:t>
      </w:r>
      <w:r>
        <w:rPr>
          <w:rFonts w:hint="eastAsia" w:ascii="仿宋_GB2312" w:eastAsia="仿宋_GB2312"/>
          <w:sz w:val="32"/>
          <w:szCs w:val="32"/>
          <w:lang w:val="en-US" w:eastAsia="zh-CN"/>
        </w:rPr>
        <w:t>财政拨款“三公”经费</w:t>
      </w:r>
      <w:r>
        <w:rPr>
          <w:rFonts w:hint="eastAsia" w:ascii="仿宋_GB2312" w:eastAsia="仿宋_GB2312"/>
          <w:sz w:val="32"/>
          <w:szCs w:val="32"/>
        </w:rPr>
        <w:t>支出决算表</w:t>
      </w:r>
    </w:p>
    <w:p w14:paraId="7ECA1D80">
      <w:pPr>
        <w:rPr>
          <w:rFonts w:hint="eastAsia" w:ascii="仿宋_GB2312" w:eastAsia="仿宋_GB2312"/>
          <w:sz w:val="32"/>
          <w:szCs w:val="32"/>
        </w:rPr>
      </w:pPr>
    </w:p>
    <w:p w14:paraId="51E172C9">
      <w:pPr>
        <w:ind w:firstLine="645"/>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themeColor="text1"/>
          <w:sz w:val="32"/>
          <w:szCs w:val="32"/>
          <w:u w:val="none"/>
          <w:lang w:val="en-US" w:eastAsia="zh-CN"/>
          <w14:textFill>
            <w14:solidFill>
              <w14:schemeClr w14:val="tx1"/>
            </w14:solidFill>
          </w14:textFill>
        </w:rPr>
        <w:t>百色市信访局</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年度部门决算情况说明</w:t>
      </w:r>
    </w:p>
    <w:p w14:paraId="0E8B8BA4">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年度收入支出决算总体情况。</w:t>
      </w:r>
    </w:p>
    <w:p w14:paraId="68457B48">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olor w:val="000000" w:themeColor="text1"/>
          <w:kern w:val="0"/>
          <w:sz w:val="32"/>
          <w:szCs w:val="32"/>
          <w:u w:val="none"/>
          <w:lang w:val="en-US" w:eastAsia="zh-CN"/>
          <w14:textFill>
            <w14:solidFill>
              <w14:schemeClr w14:val="tx1"/>
            </w14:solidFill>
          </w14:textFill>
        </w:rPr>
        <w:t>年度一般公共预算财政拨款支出决算情况</w:t>
      </w:r>
      <w:r>
        <w:rPr>
          <w:rFonts w:hint="eastAsia" w:ascii="仿宋_GB2312" w:eastAsia="仿宋_GB2312" w:cs="仿宋_GB2312"/>
          <w:kern w:val="0"/>
          <w:sz w:val="32"/>
          <w:szCs w:val="32"/>
        </w:rPr>
        <w:t>。</w:t>
      </w:r>
    </w:p>
    <w:p w14:paraId="1F98AE4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年度一般公共预算财政拨款基本支出决算情况说明。</w:t>
      </w:r>
    </w:p>
    <w:p w14:paraId="5B52E426">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年度政府性基金支出决算情况。</w:t>
      </w:r>
    </w:p>
    <w:p w14:paraId="560EB32E">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五、</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olor w:val="000000" w:themeColor="text1"/>
          <w:kern w:val="0"/>
          <w:sz w:val="32"/>
          <w:szCs w:val="32"/>
          <w:u w:val="none"/>
          <w:lang w:val="en-US" w:eastAsia="zh-CN"/>
          <w14:textFill>
            <w14:solidFill>
              <w14:schemeClr w14:val="tx1"/>
            </w14:solidFill>
          </w14:textFill>
        </w:rPr>
        <w:t>年度国有资本经营预算支出决算情况</w:t>
      </w:r>
      <w:r>
        <w:rPr>
          <w:rFonts w:hint="eastAsia" w:ascii="仿宋_GB2312" w:eastAsia="仿宋_GB2312" w:cs="仿宋_GB2312"/>
          <w:kern w:val="0"/>
          <w:sz w:val="32"/>
          <w:szCs w:val="32"/>
          <w:lang w:eastAsia="zh-CN"/>
        </w:rPr>
        <w:t>。</w:t>
      </w:r>
    </w:p>
    <w:p w14:paraId="662CDA14">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color w:val="000000" w:themeColor="text1"/>
          <w:kern w:val="0"/>
          <w:sz w:val="32"/>
          <w:szCs w:val="32"/>
          <w:u w:val="none"/>
          <w:lang w:val="en-US" w:eastAsia="zh-CN"/>
          <w14:textFill>
            <w14:solidFill>
              <w14:schemeClr w14:val="tx1"/>
            </w14:solidFill>
          </w14:textFill>
        </w:rPr>
        <w:t>财政拨款安排的“三公”经费支出决算情况说明</w:t>
      </w:r>
      <w:r>
        <w:rPr>
          <w:rFonts w:hint="eastAsia" w:ascii="仿宋_GB2312" w:eastAsia="仿宋_GB2312" w:cs="仿宋_GB2312"/>
          <w:kern w:val="0"/>
          <w:sz w:val="32"/>
          <w:szCs w:val="32"/>
        </w:rPr>
        <w:t>。</w:t>
      </w:r>
    </w:p>
    <w:p w14:paraId="6776B1B5">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447CF26A">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八</w:t>
      </w:r>
      <w:r>
        <w:rPr>
          <w:rFonts w:hint="eastAsia" w:ascii="仿宋_GB2312" w:eastAsia="仿宋_GB2312" w:cs="仿宋_GB2312"/>
          <w:kern w:val="0"/>
          <w:sz w:val="32"/>
          <w:szCs w:val="32"/>
        </w:rPr>
        <w:t>、预算绩效管理工作开展情况。</w:t>
      </w:r>
    </w:p>
    <w:p w14:paraId="5051FF88">
      <w:pPr>
        <w:autoSpaceDE w:val="0"/>
        <w:autoSpaceDN w:val="0"/>
        <w:adjustRightInd w:val="0"/>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第四部分：名词解释</w:t>
      </w:r>
    </w:p>
    <w:p w14:paraId="13E5A45D">
      <w:pPr>
        <w:rPr>
          <w:rFonts w:hint="eastAsia" w:ascii="黑体" w:hAnsi="黑体" w:eastAsia="黑体" w:cs="仿宋_GB2312"/>
          <w:kern w:val="0"/>
          <w:sz w:val="32"/>
          <w:szCs w:val="32"/>
        </w:rPr>
      </w:pPr>
      <w:r>
        <w:rPr>
          <w:rFonts w:hint="eastAsia" w:ascii="黑体" w:hAnsi="黑体" w:eastAsia="黑体" w:cs="仿宋_GB2312"/>
          <w:kern w:val="0"/>
          <w:sz w:val="32"/>
          <w:szCs w:val="32"/>
        </w:rPr>
        <w:br w:type="page"/>
      </w:r>
    </w:p>
    <w:p w14:paraId="79C2B874">
      <w:pPr>
        <w:autoSpaceDE w:val="0"/>
        <w:autoSpaceDN w:val="0"/>
        <w:adjustRightInd w:val="0"/>
        <w:ind w:firstLine="640" w:firstLineChars="200"/>
        <w:jc w:val="left"/>
        <w:rPr>
          <w:rFonts w:hint="eastAsia" w:ascii="黑体" w:hAnsi="黑体" w:eastAsia="黑体" w:cs="仿宋_GB2312"/>
          <w:kern w:val="0"/>
          <w:sz w:val="32"/>
          <w:szCs w:val="32"/>
        </w:rPr>
      </w:pPr>
    </w:p>
    <w:p w14:paraId="69185198">
      <w:pPr>
        <w:ind w:firstLine="646"/>
        <w:jc w:val="center"/>
        <w:outlineLvl w:val="0"/>
        <w:rPr>
          <w:rFonts w:hint="eastAsia"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FF"/>
          <w:sz w:val="32"/>
          <w:szCs w:val="32"/>
          <w:u w:val="none"/>
          <w:lang w:val="en-US" w:eastAsia="zh-CN"/>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百色市信访局</w:t>
      </w:r>
      <w:r>
        <w:rPr>
          <w:rFonts w:hint="eastAsia" w:ascii="黑体" w:hAnsi="黑体" w:eastAsia="黑体"/>
          <w:bCs/>
          <w:color w:val="0000FF"/>
          <w:sz w:val="32"/>
          <w:szCs w:val="32"/>
          <w:u w:val="none"/>
          <w:lang w:val="en-US" w:eastAsia="zh-CN"/>
        </w:rPr>
        <w:t xml:space="preserve"> </w:t>
      </w:r>
      <w:r>
        <w:rPr>
          <w:rFonts w:hint="eastAsia" w:ascii="黑体" w:hAnsi="黑体" w:eastAsia="黑体"/>
          <w:sz w:val="32"/>
          <w:szCs w:val="32"/>
        </w:rPr>
        <w:t>概况</w:t>
      </w:r>
    </w:p>
    <w:p w14:paraId="636DBFC8">
      <w:pPr>
        <w:numPr>
          <w:ilvl w:val="0"/>
          <w:numId w:val="1"/>
        </w:numPr>
        <w:ind w:firstLine="646"/>
        <w:outlineLvl w:val="1"/>
        <w:rPr>
          <w:rFonts w:hint="eastAsia" w:ascii="黑体" w:hAnsi="黑体" w:eastAsia="黑体"/>
          <w:sz w:val="32"/>
          <w:szCs w:val="32"/>
        </w:rPr>
      </w:pPr>
      <w:r>
        <w:rPr>
          <w:rFonts w:hint="eastAsia" w:ascii="黑体" w:hAnsi="黑体" w:eastAsia="黑体"/>
          <w:sz w:val="32"/>
          <w:szCs w:val="32"/>
          <w:lang w:val="en-US" w:eastAsia="zh-CN"/>
        </w:rPr>
        <w:t>本部门职责</w:t>
      </w:r>
    </w:p>
    <w:p w14:paraId="51D3BD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_GB2312" w:eastAsia="仿宋_GB2312"/>
          <w:color w:val="0000FF"/>
          <w:sz w:val="32"/>
          <w:szCs w:val="32"/>
          <w:u w:val="single"/>
          <w:lang w:val="en-US" w:eastAsia="zh-CN"/>
        </w:rPr>
      </w:pPr>
      <w:r>
        <w:rPr>
          <w:rFonts w:hint="eastAsia" w:ascii="仿宋_GB2312" w:eastAsia="仿宋_GB2312"/>
          <w:color w:val="000000" w:themeColor="text1"/>
          <w:sz w:val="32"/>
          <w:szCs w:val="32"/>
          <w:u w:val="none"/>
          <w14:textFill>
            <w14:solidFill>
              <w14:schemeClr w14:val="tx1"/>
            </w14:solidFill>
          </w14:textFill>
        </w:rPr>
        <w:t/>
      </w:r>
      <w:r>
        <w:rPr>
          <w:rFonts w:hint="eastAsia" w:ascii="仿宋_GB2312" w:eastAsia="仿宋_GB2312"/>
          <w:color w:val="000000" w:themeColor="text1"/>
          <w:sz w:val="32"/>
          <w:szCs w:val="32"/>
          <w:u w:val="none"/>
          <w14:textFill>
            <w14:solidFill>
              <w14:schemeClr w14:val="tx1"/>
            </w14:solidFill>
          </w14:textFill>
        </w:rPr>
        <w:t>1、负责处理人民群众及港澳台、境外人士、法人及其他组织通过信访渠道给市委、市人民政府及领导同志的来信来电、接待来访、网上信访投诉。</w:t>
        <w:br/>
        <w:t xml:space="preserve">2、承办市委、市人民政府及上级信访部门领导同志批示交办的信访事项；负责向各县（市、区）和市直各有关单位转办、交办、移送信访事项，督促检查信访事项办理落实情况和领导同志信访批示件落实情况。</w:t>
        <w:br/>
        <w:t xml:space="preserve">3、负责向市委、市人民政府反映群众来信来电来访中提出的重要建议、意见和问题，综合研判信访信息；组织实施信访矛盾纠纷排查化解工作；开展调查研究，提出解决问题、完善政策法规和改进工作的意见和建议。</w:t>
        <w:br/>
        <w:t xml:space="preserve">4、负责综合协调、指导全市信访工作，推动各级党委、政府关于信访工作决策部署的贯彻落实；起草有关信访工作制度；对市委拟提拔任用干部提出信访履职鉴定意见；对信访事项办理过程中存在的问题和不足，提出改进工作和信访责任追究的意见和建议。</w:t>
        <w:br/>
        <w:t xml:space="preserve">5、承担市人民政府负责的信访事项复查复核日常工作、指导复杂疑难信访事项的听证及信访终结工作。</w:t>
        <w:br/>
        <w:t xml:space="preserve">6、承担市信访工作联席会议的日常工作，督促落实联席会议决定的事项。</w:t>
        <w:br/>
        <w:t xml:space="preserve">7、组织全市信访工作的经验交流、总结推广和理论研究；负责指导全市信访信息系统建设应用、组织信访工作干部的教育培训；负责全市信访工作的宣传及信息发布工作。</w:t>
        <w:br/>
        <w:t xml:space="preserve">8、完成市委、市人民政府交办的其他事项。</w:t>
        <w:br/>
        <w:t xml:space="preserve"/>
      </w:r>
      <w:r>
        <w:rPr>
          <w:rFonts w:hint="eastAsia" w:ascii="仿宋_GB2312" w:eastAsia="仿宋_GB2312"/>
          <w:color w:val="000000" w:themeColor="text1"/>
          <w:sz w:val="32"/>
          <w:szCs w:val="32"/>
          <w:u w:val="none"/>
          <w14:textFill>
            <w14:solidFill>
              <w14:schemeClr w14:val="tx1"/>
            </w14:solidFill>
          </w14:textFill>
        </w:rPr>
        <w:t/>
      </w:r>
    </w:p>
    <w:p w14:paraId="3EA9E9A2">
      <w:pPr>
        <w:ind w:firstLine="646"/>
        <w:outlineLvl w:val="1"/>
        <w:rPr>
          <w:rFonts w:hint="eastAsia" w:ascii="仿宋_GB2312" w:eastAsia="仿宋_GB2312"/>
          <w:color w:val="000000" w:themeColor="text1"/>
          <w:sz w:val="32"/>
          <w:szCs w:val="32"/>
          <w:u w:val="none"/>
          <w14:textFill>
            <w14:solidFill>
              <w14:schemeClr w14:val="tx1"/>
            </w14:solidFill>
          </w14:textFill>
        </w:rPr>
      </w:pPr>
      <w:r>
        <w:rPr>
          <w:rFonts w:hint="eastAsia" w:ascii="黑体" w:hAnsi="黑体" w:eastAsia="黑体"/>
          <w:sz w:val="32"/>
          <w:szCs w:val="32"/>
        </w:rPr>
        <w:t>二、</w:t>
      </w:r>
      <w:r>
        <w:rPr>
          <w:rFonts w:hint="eastAsia" w:ascii="黑体" w:hAnsi="黑体" w:eastAsia="黑体"/>
          <w:sz w:val="32"/>
          <w:szCs w:val="32"/>
          <w:lang w:val="en-US" w:eastAsia="zh-CN"/>
        </w:rPr>
        <w:t>机构设置情况</w:t>
      </w:r>
    </w:p>
    <w:p w14:paraId="6505D2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
      </w:r>
      <w:r>
        <w:rPr>
          <w:rFonts w:hint="eastAsia" w:ascii="仿宋_GB2312" w:eastAsia="仿宋_GB2312"/>
          <w:color w:val="000000" w:themeColor="text1"/>
          <w:sz w:val="32"/>
          <w:szCs w:val="32"/>
          <w:u w:val="none"/>
          <w14:textFill>
            <w14:solidFill>
              <w14:schemeClr w14:val="tx1"/>
            </w14:solidFill>
          </w14:textFill>
        </w:rPr>
        <w:t>中共百色市委员会百色市人民政府信访局内设办公室、办信科、接访科、复查复核科、督查指导科，共5个内设机构和一个二层事业单位市群众工作服务中心。纳入部门决算汇编范围的独立核算单位有2个，分别是：</w:t>
        <w:br/>
        <w:t xml:space="preserve">中共百色市委员会百色市人民政府信访局本级，属行政单位；</w:t>
        <w:br/>
        <w:t xml:space="preserve">二层机构百色市群众工作服务中心，属公益一类事业单位。</w:t>
        <w:br/>
        <w:t xml:space="preserve">本部门决算为汇总决算，包括中共百色市委员会百色市人民政府信访局本级决算，以及纳入编制范围的下属单位百色市群众工作服务中心决算。</w:t>
        <w:br/>
        <w:t xml:space="preserve"/>
      </w:r>
      <w:r>
        <w:rPr>
          <w:rFonts w:hint="eastAsia" w:ascii="仿宋_GB2312" w:eastAsia="仿宋_GB2312"/>
          <w:color w:val="000000" w:themeColor="text1"/>
          <w:sz w:val="32"/>
          <w:szCs w:val="32"/>
          <w:u w:val="none"/>
          <w14:textFill>
            <w14:solidFill>
              <w14:schemeClr w14:val="tx1"/>
            </w14:solidFill>
          </w14:textFill>
        </w:rPr>
        <w:t/>
      </w:r>
    </w:p>
    <w:p w14:paraId="1422A546">
      <w:pPr>
        <w:jc w:val="both"/>
      </w:pPr>
    </w:p>
    <w:p w14:paraId="013A3DD3">
      <w:r>
        <w:br w:type="page"/>
      </w:r>
    </w:p>
    <w:p w14:paraId="59FF256E">
      <w:pPr>
        <w:jc w:val="center"/>
        <w:outlineLvl w:val="0"/>
        <w:rPr>
          <w:rFonts w:hint="eastAsia" w:ascii="仿宋_GB2312" w:eastAsia="仿宋_GB2312"/>
          <w:sz w:val="32"/>
          <w:szCs w:val="32"/>
          <w:highlight w:val="yellow"/>
          <w:lang w:val="en-US" w:eastAsia="zh-CN"/>
        </w:rPr>
      </w:pPr>
      <w:r>
        <w:rPr>
          <w:rFonts w:hint="eastAsia" w:ascii="黑体" w:hAnsi="黑体" w:eastAsia="黑体"/>
          <w:sz w:val="32"/>
          <w:szCs w:val="32"/>
        </w:rPr>
        <w:t>第二部分：</w:t>
      </w:r>
      <w:r>
        <w:rPr>
          <w:rFonts w:hint="eastAsia" w:ascii="黑体" w:hAnsi="黑体" w:eastAsia="黑体"/>
          <w:bCs/>
          <w:color w:val="0000FF"/>
          <w:sz w:val="32"/>
          <w:szCs w:val="32"/>
          <w:u w:val="none"/>
          <w:lang w:val="en-US" w:eastAsia="zh-CN"/>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百色市信访局</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年度部门决算报表</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2"/>
        <w:gridCol w:w="3473"/>
        <w:gridCol w:w="3322"/>
        <w:gridCol w:w="3997"/>
      </w:tblGrid>
      <w:tr w14:paraId="2801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000" w:type="pct"/>
            <w:gridSpan w:val="4"/>
            <w:tcBorders>
              <w:top w:val="nil"/>
              <w:left w:val="nil"/>
              <w:bottom w:val="nil"/>
              <w:right w:val="nil"/>
            </w:tcBorders>
            <w:vAlign w:val="center"/>
          </w:tcPr>
          <w:p w14:paraId="5404AF8E">
            <w:pPr>
              <w:jc w:val="right"/>
              <w:rPr>
                <w:rFonts w:ascii="黑体" w:hAnsi="黑体" w:eastAsia="黑体"/>
                <w:color w:val="000000"/>
                <w:sz w:val="32"/>
                <w:szCs w:val="32"/>
              </w:rPr>
            </w:pPr>
            <w:r>
              <w:rPr>
                <w:rFonts w:hint="eastAsia" w:ascii="宋体" w:hAnsi="宋体" w:cs="宋体"/>
                <w:color w:val="000000"/>
                <w:kern w:val="0"/>
                <w:sz w:val="20"/>
                <w:szCs w:val="20"/>
              </w:rPr>
              <w:t>表1</w:t>
            </w:r>
          </w:p>
        </w:tc>
      </w:tr>
      <w:tr w14:paraId="3BCF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000" w:type="pct"/>
            <w:gridSpan w:val="4"/>
            <w:tcBorders>
              <w:top w:val="nil"/>
              <w:left w:val="nil"/>
              <w:bottom w:val="nil"/>
              <w:right w:val="nil"/>
            </w:tcBorders>
            <w:vAlign w:val="center"/>
          </w:tcPr>
          <w:p w14:paraId="32E40260">
            <w:pPr>
              <w:jc w:val="center"/>
              <w:rPr>
                <w:rFonts w:ascii="黑体" w:hAnsi="黑体" w:eastAsia="黑体"/>
                <w:color w:val="000000"/>
                <w:sz w:val="32"/>
                <w:szCs w:val="32"/>
              </w:rPr>
            </w:pPr>
            <w:r>
              <w:rPr>
                <w:rFonts w:hint="eastAsia" w:ascii="宋体" w:hAnsi="宋体" w:cs="宋体"/>
                <w:b/>
                <w:color w:val="000000"/>
                <w:kern w:val="0"/>
                <w:sz w:val="32"/>
                <w:szCs w:val="32"/>
              </w:rPr>
              <w:t>收入支出决算总表</w:t>
            </w:r>
          </w:p>
        </w:tc>
      </w:tr>
      <w:tr w14:paraId="567B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90" w:type="pct"/>
            <w:gridSpan w:val="3"/>
            <w:tcBorders>
              <w:top w:val="nil"/>
              <w:left w:val="nil"/>
              <w:bottom w:val="single" w:color="000000" w:sz="4" w:space="0"/>
              <w:right w:val="nil"/>
            </w:tcBorders>
            <w:vAlign w:val="center"/>
          </w:tcPr>
          <w:p w14:paraId="70BB53A8">
            <w:pPr>
              <w:jc w:val="left"/>
              <w:rPr>
                <w:rFonts w:hint="default" w:ascii="黑体" w:hAnsi="黑体" w:eastAsia="宋体"/>
                <w:color w:val="000000"/>
                <w:sz w:val="32"/>
                <w:szCs w:val="32"/>
                <w:u w:val="single"/>
                <w:lang w:val="en-US" w:eastAsia="zh-CN"/>
              </w:rPr>
            </w:pPr>
            <w:r>
              <w:rPr>
                <w:rFonts w:hint="eastAsia" w:ascii="宋体" w:hAnsi="宋体" w:cs="宋体"/>
                <w:color w:val="000000"/>
                <w:kern w:val="0"/>
                <w:sz w:val="20"/>
                <w:szCs w:val="20"/>
              </w:rPr>
              <w:t>部门：</w:t>
            </w:r>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p>
        </w:tc>
        <w:tc>
          <w:tcPr>
            <w:tcW w:w="1409" w:type="pct"/>
            <w:tcBorders>
              <w:top w:val="nil"/>
              <w:left w:val="nil"/>
              <w:bottom w:val="single" w:color="000000" w:sz="4" w:space="0"/>
              <w:right w:val="nil"/>
            </w:tcBorders>
            <w:vAlign w:val="center"/>
          </w:tcPr>
          <w:p w14:paraId="7EB60607">
            <w:pPr>
              <w:jc w:val="right"/>
              <w:rPr>
                <w:rFonts w:ascii="黑体" w:hAnsi="黑体" w:eastAsia="黑体"/>
                <w:color w:val="000000"/>
                <w:sz w:val="32"/>
                <w:szCs w:val="32"/>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0AF9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418" w:type="pct"/>
            <w:gridSpan w:val="2"/>
            <w:tcBorders>
              <w:top w:val="single" w:color="000000" w:sz="4" w:space="0"/>
              <w:left w:val="single" w:color="000000" w:sz="4" w:space="0"/>
              <w:bottom w:val="single" w:color="000000" w:sz="4" w:space="0"/>
              <w:right w:val="single" w:color="000000" w:sz="4" w:space="0"/>
            </w:tcBorders>
            <w:vAlign w:val="center"/>
          </w:tcPr>
          <w:p w14:paraId="6D7FB1B2">
            <w:pPr>
              <w:widowControl/>
              <w:ind w:firstLine="400"/>
              <w:jc w:val="center"/>
              <w:rPr>
                <w:rFonts w:ascii="黑体" w:hAnsi="黑体" w:eastAsia="黑体"/>
                <w:color w:val="000000"/>
                <w:szCs w:val="21"/>
              </w:rPr>
            </w:pPr>
            <w:r>
              <w:rPr>
                <w:rFonts w:hint="eastAsia" w:ascii="宋体" w:hAnsi="宋体" w:cs="宋体"/>
                <w:color w:val="000000"/>
                <w:kern w:val="0"/>
                <w:szCs w:val="21"/>
              </w:rPr>
              <w:t>收    入</w:t>
            </w:r>
          </w:p>
        </w:tc>
        <w:tc>
          <w:tcPr>
            <w:tcW w:w="2581" w:type="pct"/>
            <w:gridSpan w:val="2"/>
            <w:tcBorders>
              <w:top w:val="single" w:color="000000" w:sz="4" w:space="0"/>
              <w:left w:val="single" w:color="000000" w:sz="4" w:space="0"/>
              <w:bottom w:val="single" w:color="000000" w:sz="4" w:space="0"/>
              <w:right w:val="single" w:color="000000" w:sz="4" w:space="0"/>
            </w:tcBorders>
            <w:vAlign w:val="center"/>
          </w:tcPr>
          <w:p w14:paraId="66A98828">
            <w:pPr>
              <w:widowControl/>
              <w:jc w:val="center"/>
              <w:rPr>
                <w:rFonts w:ascii="黑体" w:hAnsi="黑体" w:eastAsia="黑体"/>
                <w:color w:val="000000"/>
                <w:szCs w:val="21"/>
              </w:rPr>
            </w:pPr>
            <w:r>
              <w:rPr>
                <w:rFonts w:hint="eastAsia" w:ascii="宋体" w:hAnsi="宋体" w:cs="宋体"/>
                <w:color w:val="000000"/>
                <w:kern w:val="0"/>
                <w:szCs w:val="21"/>
              </w:rPr>
              <w:t>支    出</w:t>
            </w:r>
          </w:p>
        </w:tc>
      </w:tr>
      <w:tr w14:paraId="47F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93" w:type="pct"/>
            <w:tcBorders>
              <w:top w:val="single" w:color="000000" w:sz="4" w:space="0"/>
            </w:tcBorders>
            <w:vAlign w:val="center"/>
          </w:tcPr>
          <w:p w14:paraId="783E151C">
            <w:pPr>
              <w:widowControl/>
              <w:jc w:val="center"/>
              <w:rPr>
                <w:rFonts w:ascii="黑体" w:hAnsi="黑体" w:eastAsia="黑体"/>
                <w:color w:val="000000"/>
                <w:szCs w:val="21"/>
              </w:rPr>
            </w:pPr>
            <w:r>
              <w:rPr>
                <w:rFonts w:hint="eastAsia" w:ascii="宋体" w:hAnsi="宋体" w:cs="宋体"/>
                <w:color w:val="000000"/>
                <w:kern w:val="0"/>
                <w:szCs w:val="21"/>
              </w:rPr>
              <w:t>项    目</w:t>
            </w:r>
          </w:p>
        </w:tc>
        <w:tc>
          <w:tcPr>
            <w:tcW w:w="1225" w:type="pct"/>
            <w:tcBorders>
              <w:top w:val="single" w:color="000000" w:sz="4" w:space="0"/>
            </w:tcBorders>
            <w:vAlign w:val="center"/>
          </w:tcPr>
          <w:p w14:paraId="299EF5A0">
            <w:pPr>
              <w:widowControl/>
              <w:jc w:val="center"/>
              <w:rPr>
                <w:rFonts w:ascii="黑体" w:hAnsi="黑体" w:eastAsia="黑体"/>
                <w:color w:val="000000"/>
                <w:szCs w:val="21"/>
              </w:rPr>
            </w:pPr>
            <w:r>
              <w:rPr>
                <w:rFonts w:hint="eastAsia" w:ascii="宋体" w:hAnsi="宋体" w:cs="宋体"/>
                <w:color w:val="000000"/>
                <w:kern w:val="0"/>
                <w:szCs w:val="21"/>
              </w:rPr>
              <w:t>决算数</w:t>
            </w:r>
          </w:p>
        </w:tc>
        <w:tc>
          <w:tcPr>
            <w:tcW w:w="1171" w:type="pct"/>
            <w:tcBorders>
              <w:top w:val="single" w:color="000000" w:sz="4" w:space="0"/>
            </w:tcBorders>
            <w:vAlign w:val="center"/>
          </w:tcPr>
          <w:p w14:paraId="50A08878">
            <w:pPr>
              <w:widowControl/>
              <w:jc w:val="center"/>
              <w:rPr>
                <w:rFonts w:ascii="黑体" w:hAnsi="黑体" w:eastAsia="黑体"/>
                <w:color w:val="000000"/>
                <w:szCs w:val="21"/>
              </w:rPr>
            </w:pPr>
            <w:r>
              <w:rPr>
                <w:rFonts w:hint="eastAsia" w:ascii="宋体" w:hAnsi="宋体" w:cs="宋体"/>
                <w:color w:val="000000"/>
                <w:kern w:val="0"/>
                <w:szCs w:val="21"/>
              </w:rPr>
              <w:t>项    目</w:t>
            </w:r>
          </w:p>
        </w:tc>
        <w:tc>
          <w:tcPr>
            <w:tcW w:w="1409" w:type="pct"/>
            <w:tcBorders>
              <w:top w:val="single" w:color="000000" w:sz="4" w:space="0"/>
            </w:tcBorders>
            <w:vAlign w:val="center"/>
          </w:tcPr>
          <w:p w14:paraId="6023C505">
            <w:pPr>
              <w:widowControl/>
              <w:jc w:val="center"/>
              <w:rPr>
                <w:rFonts w:ascii="黑体" w:hAnsi="黑体" w:eastAsia="黑体"/>
                <w:color w:val="000000"/>
                <w:szCs w:val="21"/>
              </w:rPr>
            </w:pPr>
            <w:r>
              <w:rPr>
                <w:rFonts w:hint="eastAsia" w:ascii="宋体" w:hAnsi="宋体" w:cs="宋体"/>
                <w:color w:val="000000"/>
                <w:kern w:val="0"/>
                <w:szCs w:val="21"/>
              </w:rPr>
              <w:t>决算数</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一、一般公共预算财政拨款收入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一、一般公共服务支出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892.38</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二、政府性基金预算财政拨款收入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二、外交支出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三、国有资本经营预算财政拨款收入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三、国防支出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四、上级补助收入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四、公共安全支出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五、事业收入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五、教育支出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六、经营收入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六、科学技术支出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七、附属单位上缴收入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七、文化旅游体育与传媒支出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八、其他收入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八、社会保障和就业支出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94.43</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九、卫生健康支出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16.66</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十、节能环保支出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十一、城乡社区支出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十二、农林水支出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十三、交通运输支出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十四、资源勘探工业信息等支出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十五、商业服务业等支出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十六、金融支出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十七、援助其他地区支出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十八、自然资源海洋气象等支出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十九、住房保障支出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29.45</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二十、粮油物资储备支出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二十一、国有资本经营预算支出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二十二、灾害防治及应急管理支出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二十三、其他支出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二十四、债务还本支出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二十五、债务付息支出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二十六、抗疫特别国债安排的支出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本年收入合计</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本年支出合计</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使用非财政拨款结余（含专用结余）</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结余分配</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年初结转和结余</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年末结转和结余</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总计</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总计</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r>
      <w:tr w14:paraId="63F6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40AA5C38">
            <w:pPr>
              <w:widowControl/>
              <w:jc w:val="center"/>
              <w:rPr>
                <w:rFonts w:hint="eastAsia" w:ascii="宋体" w:hAnsi="宋体" w:cs="宋体"/>
                <w:b/>
                <w:bCs/>
                <w:color w:val="000000"/>
                <w:kern w:val="0"/>
                <w:szCs w:val="21"/>
              </w:rPr>
            </w:pPr>
          </w:p>
        </w:tc>
        <w:tc>
          <w:tcPr>
            <w:tcW w:w="1225" w:type="pct"/>
            <w:vAlign w:val="center"/>
          </w:tcPr>
          <w:p w14:paraId="7E84DEA4">
            <w:pPr>
              <w:widowControl/>
              <w:jc w:val="right"/>
              <w:rPr>
                <w:rFonts w:hint="eastAsia" w:ascii="宋体" w:hAnsi="宋体" w:eastAsia="宋体" w:cs="宋体"/>
                <w:color w:val="000000"/>
                <w:kern w:val="0"/>
                <w:szCs w:val="21"/>
                <w:lang w:eastAsia="zh-CN"/>
              </w:rPr>
            </w:pPr>
          </w:p>
        </w:tc>
        <w:tc>
          <w:tcPr>
            <w:tcW w:w="1171" w:type="pct"/>
            <w:vAlign w:val="center"/>
          </w:tcPr>
          <w:p w14:paraId="247E3C46">
            <w:pPr>
              <w:widowControl/>
              <w:jc w:val="center"/>
              <w:rPr>
                <w:rFonts w:hint="eastAsia" w:ascii="宋体" w:hAnsi="宋体" w:cs="宋体"/>
                <w:b/>
                <w:bCs/>
                <w:color w:val="000000"/>
                <w:kern w:val="0"/>
                <w:szCs w:val="21"/>
              </w:rPr>
            </w:pPr>
          </w:p>
        </w:tc>
        <w:tc>
          <w:tcPr>
            <w:tcW w:w="1409" w:type="pct"/>
            <w:vAlign w:val="center"/>
          </w:tcPr>
          <w:p w14:paraId="3482F4A7">
            <w:pPr>
              <w:widowControl/>
              <w:jc w:val="right"/>
              <w:rPr>
                <w:rFonts w:hint="eastAsia" w:ascii="宋体" w:hAnsi="宋体" w:eastAsia="宋体" w:cs="宋体"/>
                <w:color w:val="000000"/>
                <w:kern w:val="0"/>
                <w:szCs w:val="21"/>
                <w:lang w:eastAsia="zh-CN"/>
              </w:rPr>
            </w:pPr>
          </w:p>
        </w:tc>
      </w:tr>
    </w:tbl>
    <w:p w14:paraId="34B758EA">
      <w:pPr>
        <w:rPr>
          <w:rFonts w:hint="eastAsia"/>
          <w:color w:val="000000"/>
        </w:rPr>
      </w:pPr>
      <w:r>
        <w:rPr>
          <w:rFonts w:hint="eastAsia"/>
          <w:color w:val="000000"/>
        </w:rPr>
        <w:t>注：</w:t>
      </w:r>
      <w:bookmarkStart w:id="0" w:name="PO_part2Table1Remark1"/>
      <w:r>
        <w:rPr>
          <w:rFonts w:hint="eastAsia"/>
          <w:color w:val="000000"/>
        </w:rPr>
        <w:t xml:space="preserve"> </w:t>
      </w:r>
      <w:r>
        <w:rPr>
          <w:rFonts w:hint="eastAsia"/>
          <w:color w:val="000000"/>
          <w:lang w:val="en-US" w:eastAsia="zh-CN"/>
        </w:rPr>
        <w:t>1</w:t>
      </w:r>
      <w:r>
        <w:rPr>
          <w:rFonts w:hint="eastAsia"/>
          <w:color w:val="000000"/>
        </w:rPr>
        <w:t>、本表反映部门</w:t>
      </w:r>
      <w:r>
        <w:rPr>
          <w:rFonts w:hint="eastAsia"/>
          <w:color w:val="000000"/>
          <w:lang w:val="en-US" w:eastAsia="zh-CN"/>
        </w:rPr>
        <w:t>2024</w:t>
      </w:r>
      <w:r>
        <w:rPr>
          <w:rFonts w:hint="eastAsia"/>
          <w:color w:val="000000"/>
        </w:rPr>
        <w:t xml:space="preserve">年度的总收支和年末结转结余情况。 </w:t>
      </w:r>
      <w:bookmarkEnd w:id="0"/>
      <w:r>
        <w:rPr>
          <w:rFonts w:hint="eastAsia"/>
          <w:color w:val="000000"/>
        </w:rPr>
        <w:t xml:space="preserve"> 2、本套报表金额单位转换时可能存在尾数误差。</w:t>
      </w:r>
    </w:p>
    <w:p w14:paraId="1F1A8B09">
      <w:pPr>
        <w:keepNext w:val="0"/>
        <w:keepLines w:val="0"/>
        <w:pageBreakBefore/>
        <w:widowControl/>
        <w:kinsoku/>
        <w:wordWrap/>
        <w:overflowPunct/>
        <w:topLinePunct w:val="0"/>
        <w:autoSpaceDE/>
        <w:autoSpaceDN/>
        <w:bidi w:val="0"/>
        <w:adjustRightInd/>
        <w:snapToGrid/>
        <w:textAlignment w:val="auto"/>
        <w:rPr>
          <w:rFonts w:hint="default"/>
          <w:color w:val="000000"/>
          <w:lang w:val="en-US" w:eastAsia="zh-CN"/>
        </w:rPr>
      </w:pPr>
    </w:p>
    <w:tbl>
      <w:tblPr>
        <w:tblStyle w:val="6"/>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2050"/>
        <w:gridCol w:w="1552"/>
        <w:gridCol w:w="1491"/>
        <w:gridCol w:w="1576"/>
        <w:gridCol w:w="1576"/>
        <w:gridCol w:w="1576"/>
        <w:gridCol w:w="1576"/>
        <w:gridCol w:w="1568"/>
      </w:tblGrid>
      <w:tr w14:paraId="54FC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vAlign w:val="center"/>
          </w:tcPr>
          <w:p w14:paraId="317AFE78">
            <w:pPr>
              <w:jc w:val="right"/>
              <w:rPr>
                <w:rFonts w:ascii="宋体" w:hAnsi="宋体" w:cs="宋体"/>
                <w:color w:val="000000"/>
              </w:rPr>
            </w:pPr>
            <w:r>
              <w:rPr>
                <w:rFonts w:hint="eastAsia" w:ascii="宋体" w:hAnsi="宋体" w:cs="宋体"/>
                <w:color w:val="000000"/>
                <w:kern w:val="0"/>
                <w:sz w:val="20"/>
                <w:szCs w:val="20"/>
              </w:rPr>
              <w:t>表2</w:t>
            </w:r>
          </w:p>
        </w:tc>
      </w:tr>
      <w:tr w14:paraId="2A29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tcPr>
          <w:p w14:paraId="1417C237">
            <w:pPr>
              <w:jc w:val="center"/>
              <w:rPr>
                <w:rFonts w:ascii="宋体" w:hAnsi="宋体" w:cs="宋体"/>
                <w:b/>
                <w:color w:val="000000"/>
              </w:rPr>
            </w:pPr>
            <w:r>
              <w:rPr>
                <w:rFonts w:hint="eastAsia" w:ascii="宋体" w:hAnsi="宋体" w:cs="宋体"/>
                <w:b/>
                <w:color w:val="000000"/>
                <w:kern w:val="0"/>
                <w:sz w:val="32"/>
                <w:szCs w:val="32"/>
              </w:rPr>
              <w:t>收入决算表</w:t>
            </w:r>
          </w:p>
        </w:tc>
      </w:tr>
      <w:tr w14:paraId="5C57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607" w:type="dxa"/>
            <w:gridSpan w:val="8"/>
            <w:tcBorders>
              <w:top w:val="nil"/>
              <w:left w:val="nil"/>
              <w:bottom w:val="single" w:color="auto" w:sz="4" w:space="0"/>
              <w:right w:val="nil"/>
            </w:tcBorders>
          </w:tcPr>
          <w:p w14:paraId="459C3ADF">
            <w:pPr>
              <w:spacing w:line="360" w:lineRule="auto"/>
              <w:rPr>
                <w:rFonts w:ascii="宋体" w:hAnsi="宋体" w:cs="宋体"/>
                <w:color w:val="000000"/>
                <w:sz w:val="28"/>
                <w:szCs w:val="28"/>
              </w:rPr>
            </w:pPr>
            <w:r>
              <w:rPr>
                <w:rFonts w:hint="eastAsia" w:ascii="宋体" w:hAnsi="宋体" w:cs="宋体"/>
                <w:color w:val="000000"/>
                <w:kern w:val="0"/>
                <w:sz w:val="20"/>
                <w:szCs w:val="20"/>
              </w:rPr>
              <w:t>部门：</w:t>
            </w:r>
            <w:bookmarkStart w:id="1" w:name="PO_part2Table1DivName2"/>
            <w:r>
              <w:rPr>
                <w:rFonts w:hint="eastAsia" w:ascii="宋体" w:hAnsi="宋体" w:cs="宋体"/>
                <w:color w:val="000000" w:themeColor="text1"/>
                <w:kern w:val="0"/>
                <w:sz w:val="20"/>
                <w:szCs w:val="20"/>
                <w14:textFill>
                  <w14:solidFill>
                    <w14:schemeClr w14:val="tx1"/>
                  </w14:solidFill>
                </w14:textFill>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1"/>
          </w:p>
        </w:tc>
        <w:tc>
          <w:tcPr>
            <w:tcW w:w="1568" w:type="dxa"/>
            <w:tcBorders>
              <w:top w:val="nil"/>
              <w:left w:val="nil"/>
              <w:bottom w:val="single" w:color="auto" w:sz="4" w:space="0"/>
              <w:right w:val="nil"/>
            </w:tcBorders>
            <w:vAlign w:val="center"/>
          </w:tcPr>
          <w:p w14:paraId="33BA38DD">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2B0F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tcPr>
          <w:p w14:paraId="6C1A30AB">
            <w:pPr>
              <w:jc w:val="center"/>
              <w:rPr>
                <w:rFonts w:ascii="宋体" w:hAnsi="宋体" w:cs="宋体"/>
                <w:color w:val="000000"/>
                <w:szCs w:val="21"/>
              </w:rPr>
            </w:pPr>
            <w:r>
              <w:rPr>
                <w:rFonts w:hint="eastAsia" w:ascii="宋体" w:hAnsi="宋体" w:cs="宋体"/>
                <w:color w:val="000000"/>
                <w:kern w:val="0"/>
                <w:szCs w:val="21"/>
              </w:rPr>
              <w:t>项    目</w:t>
            </w:r>
          </w:p>
        </w:tc>
        <w:tc>
          <w:tcPr>
            <w:tcW w:w="1552" w:type="dxa"/>
            <w:vMerge w:val="restart"/>
            <w:tcBorders>
              <w:top w:val="single" w:color="auto" w:sz="4" w:space="0"/>
              <w:left w:val="single" w:color="auto" w:sz="4" w:space="0"/>
              <w:bottom w:val="single" w:color="auto" w:sz="4" w:space="0"/>
              <w:right w:val="single" w:color="auto" w:sz="4" w:space="0"/>
            </w:tcBorders>
            <w:vAlign w:val="center"/>
          </w:tcPr>
          <w:p w14:paraId="1C7CEDF3">
            <w:pPr>
              <w:widowControl/>
              <w:jc w:val="center"/>
              <w:rPr>
                <w:rFonts w:ascii="宋体" w:hAnsi="宋体" w:cs="宋体"/>
                <w:color w:val="000000"/>
                <w:kern w:val="0"/>
                <w:szCs w:val="21"/>
              </w:rPr>
            </w:pPr>
            <w:r>
              <w:rPr>
                <w:rFonts w:hint="eastAsia" w:ascii="宋体" w:hAnsi="宋体" w:cs="宋体"/>
                <w:color w:val="000000"/>
                <w:kern w:val="0"/>
                <w:szCs w:val="21"/>
              </w:rPr>
              <w:t>本年收入合计</w:t>
            </w:r>
          </w:p>
        </w:tc>
        <w:tc>
          <w:tcPr>
            <w:tcW w:w="1491" w:type="dxa"/>
            <w:vMerge w:val="restart"/>
            <w:tcBorders>
              <w:top w:val="single" w:color="auto" w:sz="4" w:space="0"/>
              <w:left w:val="single" w:color="auto" w:sz="4" w:space="0"/>
              <w:bottom w:val="single" w:color="auto" w:sz="4" w:space="0"/>
              <w:right w:val="single" w:color="auto" w:sz="4" w:space="0"/>
            </w:tcBorders>
            <w:vAlign w:val="center"/>
          </w:tcPr>
          <w:p w14:paraId="532BAC63">
            <w:pPr>
              <w:widowControl/>
              <w:jc w:val="center"/>
              <w:rPr>
                <w:rFonts w:ascii="宋体" w:hAnsi="宋体" w:cs="宋体"/>
                <w:color w:val="000000"/>
                <w:kern w:val="0"/>
                <w:szCs w:val="21"/>
              </w:rPr>
            </w:pPr>
            <w:r>
              <w:rPr>
                <w:rFonts w:hint="eastAsia" w:ascii="宋体" w:hAnsi="宋体" w:cs="宋体"/>
                <w:color w:val="000000"/>
                <w:kern w:val="0"/>
                <w:szCs w:val="21"/>
              </w:rPr>
              <w:t>财政拨款收入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5D136097">
            <w:pPr>
              <w:jc w:val="center"/>
              <w:rPr>
                <w:rFonts w:ascii="宋体" w:hAnsi="宋体" w:cs="宋体"/>
                <w:color w:val="000000"/>
                <w:szCs w:val="21"/>
              </w:rPr>
            </w:pPr>
            <w:r>
              <w:rPr>
                <w:rFonts w:hint="eastAsia" w:ascii="宋体" w:hAnsi="宋体" w:cs="宋体"/>
                <w:color w:val="000000"/>
                <w:kern w:val="0"/>
                <w:szCs w:val="21"/>
              </w:rPr>
              <w:t>上级补助收入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0CDCFA61">
            <w:pPr>
              <w:widowControl/>
              <w:jc w:val="center"/>
              <w:rPr>
                <w:rFonts w:ascii="宋体" w:hAnsi="宋体" w:cs="宋体"/>
                <w:color w:val="000000"/>
                <w:kern w:val="0"/>
                <w:szCs w:val="21"/>
              </w:rPr>
            </w:pPr>
            <w:r>
              <w:rPr>
                <w:rFonts w:hint="eastAsia" w:ascii="宋体" w:hAnsi="宋体" w:cs="宋体"/>
                <w:color w:val="000000"/>
                <w:kern w:val="0"/>
                <w:szCs w:val="21"/>
              </w:rPr>
              <w:t>事业收入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2EF609AB">
            <w:pPr>
              <w:widowControl/>
              <w:jc w:val="center"/>
              <w:rPr>
                <w:rFonts w:ascii="宋体" w:hAnsi="宋体" w:cs="宋体"/>
                <w:color w:val="000000"/>
                <w:kern w:val="0"/>
                <w:szCs w:val="21"/>
              </w:rPr>
            </w:pPr>
            <w:r>
              <w:rPr>
                <w:rFonts w:hint="eastAsia" w:ascii="宋体" w:hAnsi="宋体" w:cs="宋体"/>
                <w:color w:val="000000"/>
                <w:kern w:val="0"/>
                <w:szCs w:val="21"/>
              </w:rPr>
              <w:t>经营收入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3671A1D8">
            <w:pPr>
              <w:widowControl/>
              <w:jc w:val="center"/>
              <w:rPr>
                <w:rFonts w:ascii="宋体" w:hAnsi="宋体" w:cs="宋体"/>
                <w:color w:val="000000"/>
                <w:kern w:val="0"/>
                <w:szCs w:val="21"/>
              </w:rPr>
            </w:pPr>
            <w:r>
              <w:rPr>
                <w:rFonts w:hint="eastAsia" w:ascii="宋体" w:hAnsi="宋体" w:cs="宋体"/>
                <w:color w:val="000000"/>
                <w:kern w:val="0"/>
                <w:szCs w:val="21"/>
              </w:rPr>
              <w:t>附属单位上缴收入</w:t>
            </w:r>
          </w:p>
        </w:tc>
        <w:tc>
          <w:tcPr>
            <w:tcW w:w="1568" w:type="dxa"/>
            <w:vMerge w:val="restart"/>
            <w:tcBorders>
              <w:top w:val="single" w:color="auto" w:sz="4" w:space="0"/>
              <w:left w:val="single" w:color="auto" w:sz="4" w:space="0"/>
              <w:bottom w:val="single" w:color="auto" w:sz="4" w:space="0"/>
              <w:right w:val="single" w:color="auto" w:sz="4" w:space="0"/>
            </w:tcBorders>
            <w:vAlign w:val="center"/>
          </w:tcPr>
          <w:p w14:paraId="71810AEB">
            <w:pPr>
              <w:widowControl/>
              <w:jc w:val="center"/>
              <w:rPr>
                <w:rFonts w:ascii="宋体" w:hAnsi="宋体" w:cs="宋体"/>
                <w:color w:val="000000"/>
                <w:kern w:val="0"/>
                <w:szCs w:val="21"/>
              </w:rPr>
            </w:pPr>
            <w:r>
              <w:rPr>
                <w:rFonts w:hint="eastAsia" w:ascii="宋体" w:hAnsi="宋体" w:cs="宋体"/>
                <w:color w:val="000000"/>
                <w:kern w:val="0"/>
                <w:szCs w:val="21"/>
              </w:rPr>
              <w:t>其他收入</w:t>
            </w:r>
          </w:p>
        </w:tc>
      </w:tr>
      <w:tr w14:paraId="2078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10" w:type="dxa"/>
            <w:tcBorders>
              <w:top w:val="single" w:color="auto" w:sz="4" w:space="0"/>
              <w:left w:val="single" w:color="auto" w:sz="4" w:space="0"/>
              <w:bottom w:val="single" w:color="auto" w:sz="4" w:space="0"/>
              <w:right w:val="single" w:color="auto" w:sz="4" w:space="0"/>
            </w:tcBorders>
            <w:vAlign w:val="center"/>
          </w:tcPr>
          <w:p w14:paraId="52C69D56">
            <w:pPr>
              <w:jc w:val="center"/>
              <w:rPr>
                <w:rFonts w:ascii="宋体" w:hAnsi="宋体" w:cs="宋体"/>
                <w:color w:val="000000"/>
                <w:szCs w:val="21"/>
              </w:rPr>
            </w:pPr>
            <w:r>
              <w:rPr>
                <w:rFonts w:hint="eastAsia" w:ascii="宋体" w:hAnsi="宋体" w:cs="宋体"/>
                <w:color w:val="000000"/>
                <w:kern w:val="0"/>
                <w:szCs w:val="21"/>
              </w:rPr>
              <w:t>科目编码</w:t>
            </w:r>
          </w:p>
        </w:tc>
        <w:tc>
          <w:tcPr>
            <w:tcW w:w="2050" w:type="dxa"/>
            <w:tcBorders>
              <w:top w:val="single" w:color="auto" w:sz="4" w:space="0"/>
              <w:left w:val="single" w:color="auto" w:sz="4" w:space="0"/>
              <w:bottom w:val="single" w:color="auto" w:sz="4" w:space="0"/>
              <w:right w:val="single" w:color="auto" w:sz="4" w:space="0"/>
            </w:tcBorders>
            <w:vAlign w:val="center"/>
          </w:tcPr>
          <w:p w14:paraId="53EA0648">
            <w:pPr>
              <w:jc w:val="center"/>
              <w:rPr>
                <w:rFonts w:ascii="宋体" w:hAnsi="宋体" w:cs="宋体"/>
                <w:color w:val="000000"/>
                <w:szCs w:val="21"/>
              </w:rPr>
            </w:pPr>
            <w:r>
              <w:rPr>
                <w:rFonts w:hint="eastAsia" w:ascii="宋体" w:hAnsi="宋体" w:cs="宋体"/>
                <w:color w:val="000000"/>
                <w:kern w:val="0"/>
                <w:szCs w:val="21"/>
              </w:rPr>
              <w:t>科目名称</w:t>
            </w:r>
          </w:p>
        </w:tc>
        <w:tc>
          <w:tcPr>
            <w:tcW w:w="1552" w:type="dxa"/>
            <w:vMerge w:val="continue"/>
            <w:tcBorders>
              <w:top w:val="single" w:color="auto" w:sz="4" w:space="0"/>
              <w:left w:val="single" w:color="auto" w:sz="4" w:space="0"/>
              <w:bottom w:val="single" w:color="auto" w:sz="4" w:space="0"/>
              <w:right w:val="single" w:color="auto" w:sz="4" w:space="0"/>
            </w:tcBorders>
          </w:tcPr>
          <w:p w14:paraId="20E0562D">
            <w:pPr>
              <w:spacing w:line="360" w:lineRule="auto"/>
              <w:rPr>
                <w:rFonts w:ascii="宋体" w:hAnsi="宋体" w:cs="宋体"/>
                <w:color w:val="000000"/>
                <w:szCs w:val="21"/>
              </w:rPr>
            </w:pPr>
          </w:p>
        </w:tc>
        <w:tc>
          <w:tcPr>
            <w:tcW w:w="1491" w:type="dxa"/>
            <w:vMerge w:val="continue"/>
            <w:tcBorders>
              <w:top w:val="single" w:color="auto" w:sz="4" w:space="0"/>
              <w:left w:val="single" w:color="auto" w:sz="4" w:space="0"/>
              <w:bottom w:val="single" w:color="auto" w:sz="4" w:space="0"/>
              <w:right w:val="single" w:color="auto" w:sz="4" w:space="0"/>
            </w:tcBorders>
          </w:tcPr>
          <w:p w14:paraId="28A82BF9">
            <w:pPr>
              <w:spacing w:line="360" w:lineRule="auto"/>
              <w:jc w:val="right"/>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7056535F">
            <w:pPr>
              <w:spacing w:line="360" w:lineRule="auto"/>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19FF10DD">
            <w:pPr>
              <w:spacing w:line="360" w:lineRule="auto"/>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205A1AA0">
            <w:pPr>
              <w:spacing w:line="360" w:lineRule="auto"/>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2A9F8A87">
            <w:pPr>
              <w:spacing w:line="360" w:lineRule="auto"/>
              <w:rPr>
                <w:rFonts w:ascii="宋体" w:hAnsi="宋体" w:cs="宋体"/>
                <w:color w:val="000000"/>
                <w:szCs w:val="21"/>
              </w:rPr>
            </w:pPr>
          </w:p>
        </w:tc>
        <w:tc>
          <w:tcPr>
            <w:tcW w:w="1568" w:type="dxa"/>
            <w:vMerge w:val="continue"/>
            <w:tcBorders>
              <w:top w:val="single" w:color="auto" w:sz="4" w:space="0"/>
              <w:left w:val="single" w:color="auto" w:sz="4" w:space="0"/>
              <w:bottom w:val="single" w:color="auto" w:sz="4" w:space="0"/>
              <w:right w:val="single" w:color="auto" w:sz="4" w:space="0"/>
            </w:tcBorders>
          </w:tcPr>
          <w:p w14:paraId="618F5E72">
            <w:pPr>
              <w:spacing w:line="360" w:lineRule="auto"/>
              <w:rPr>
                <w:rFonts w:ascii="宋体" w:hAnsi="宋体" w:cs="宋体"/>
                <w:color w:val="000000"/>
                <w:szCs w:val="21"/>
              </w:rPr>
            </w:pPr>
          </w:p>
        </w:tc>
      </w:tr>
      <w:tr w14:paraId="45F5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vAlign w:val="center"/>
          </w:tcPr>
          <w:p w14:paraId="3C1AE374">
            <w:pPr>
              <w:jc w:val="center"/>
              <w:rPr>
                <w:rFonts w:ascii="宋体" w:hAnsi="宋体" w:cs="宋体"/>
                <w:color w:val="000000"/>
                <w:szCs w:val="21"/>
              </w:rPr>
            </w:pPr>
            <w:r>
              <w:rPr>
                <w:rFonts w:hint="eastAsia" w:ascii="宋体" w:hAnsi="宋体" w:cs="宋体"/>
                <w:color w:val="000000"/>
                <w:kern w:val="0"/>
                <w:szCs w:val="21"/>
              </w:rPr>
              <w:t>栏次</w:t>
            </w:r>
          </w:p>
        </w:tc>
        <w:tc>
          <w:tcPr>
            <w:tcW w:w="1552" w:type="dxa"/>
            <w:tcBorders>
              <w:top w:val="single" w:color="auto" w:sz="4" w:space="0"/>
              <w:left w:val="single" w:color="auto" w:sz="4" w:space="0"/>
              <w:bottom w:val="single" w:color="auto" w:sz="4" w:space="0"/>
              <w:right w:val="single" w:color="auto" w:sz="4" w:space="0"/>
            </w:tcBorders>
          </w:tcPr>
          <w:p w14:paraId="52B45AD4">
            <w:pPr>
              <w:spacing w:line="360" w:lineRule="auto"/>
              <w:jc w:val="center"/>
              <w:rPr>
                <w:rFonts w:ascii="宋体" w:hAnsi="宋体" w:cs="宋体"/>
                <w:color w:val="000000"/>
                <w:szCs w:val="21"/>
              </w:rPr>
            </w:pPr>
            <w:r>
              <w:rPr>
                <w:rFonts w:hint="eastAsia" w:ascii="宋体" w:hAnsi="宋体" w:cs="宋体"/>
                <w:color w:val="000000"/>
                <w:szCs w:val="21"/>
              </w:rPr>
              <w:t>1</w:t>
            </w:r>
          </w:p>
        </w:tc>
        <w:tc>
          <w:tcPr>
            <w:tcW w:w="1491" w:type="dxa"/>
            <w:tcBorders>
              <w:top w:val="single" w:color="auto" w:sz="4" w:space="0"/>
              <w:left w:val="single" w:color="auto" w:sz="4" w:space="0"/>
              <w:bottom w:val="single" w:color="auto" w:sz="4" w:space="0"/>
              <w:right w:val="single" w:color="auto" w:sz="4" w:space="0"/>
            </w:tcBorders>
          </w:tcPr>
          <w:p w14:paraId="06E021E2">
            <w:pPr>
              <w:spacing w:line="360" w:lineRule="auto"/>
              <w:jc w:val="center"/>
              <w:rPr>
                <w:rFonts w:ascii="宋体" w:hAnsi="宋体" w:cs="宋体"/>
                <w:color w:val="000000"/>
                <w:szCs w:val="21"/>
              </w:rPr>
            </w:pPr>
            <w:r>
              <w:rPr>
                <w:rFonts w:hint="eastAsia" w:ascii="宋体" w:hAnsi="宋体" w:cs="宋体"/>
                <w:color w:val="000000"/>
                <w:szCs w:val="21"/>
              </w:rPr>
              <w:t>2</w:t>
            </w:r>
          </w:p>
        </w:tc>
        <w:tc>
          <w:tcPr>
            <w:tcW w:w="1576" w:type="dxa"/>
            <w:tcBorders>
              <w:top w:val="single" w:color="auto" w:sz="4" w:space="0"/>
              <w:left w:val="single" w:color="auto" w:sz="4" w:space="0"/>
              <w:bottom w:val="single" w:color="auto" w:sz="4" w:space="0"/>
              <w:right w:val="single" w:color="auto" w:sz="4" w:space="0"/>
            </w:tcBorders>
          </w:tcPr>
          <w:p w14:paraId="2428EC70">
            <w:pPr>
              <w:spacing w:line="360" w:lineRule="auto"/>
              <w:jc w:val="center"/>
              <w:rPr>
                <w:rFonts w:ascii="宋体" w:hAnsi="宋体" w:cs="宋体"/>
                <w:color w:val="000000"/>
                <w:szCs w:val="21"/>
              </w:rPr>
            </w:pPr>
            <w:r>
              <w:rPr>
                <w:rFonts w:hint="eastAsia" w:ascii="宋体" w:hAnsi="宋体" w:cs="宋体"/>
                <w:color w:val="000000"/>
                <w:szCs w:val="21"/>
              </w:rPr>
              <w:t>3</w:t>
            </w:r>
          </w:p>
        </w:tc>
        <w:tc>
          <w:tcPr>
            <w:tcW w:w="1576" w:type="dxa"/>
            <w:tcBorders>
              <w:top w:val="single" w:color="auto" w:sz="4" w:space="0"/>
              <w:left w:val="single" w:color="auto" w:sz="4" w:space="0"/>
              <w:bottom w:val="single" w:color="auto" w:sz="4" w:space="0"/>
              <w:right w:val="single" w:color="auto" w:sz="4" w:space="0"/>
            </w:tcBorders>
          </w:tcPr>
          <w:p w14:paraId="4F92F326">
            <w:pPr>
              <w:spacing w:line="360" w:lineRule="auto"/>
              <w:jc w:val="center"/>
              <w:rPr>
                <w:rFonts w:ascii="宋体" w:hAnsi="宋体" w:cs="宋体"/>
                <w:color w:val="000000"/>
                <w:szCs w:val="21"/>
              </w:rPr>
            </w:pPr>
            <w:r>
              <w:rPr>
                <w:rFonts w:hint="eastAsia" w:ascii="宋体" w:hAnsi="宋体" w:cs="宋体"/>
                <w:color w:val="000000"/>
                <w:szCs w:val="21"/>
              </w:rPr>
              <w:t>4</w:t>
            </w:r>
          </w:p>
        </w:tc>
        <w:tc>
          <w:tcPr>
            <w:tcW w:w="1576" w:type="dxa"/>
            <w:tcBorders>
              <w:top w:val="single" w:color="auto" w:sz="4" w:space="0"/>
              <w:left w:val="single" w:color="auto" w:sz="4" w:space="0"/>
              <w:bottom w:val="single" w:color="auto" w:sz="4" w:space="0"/>
              <w:right w:val="single" w:color="auto" w:sz="4" w:space="0"/>
            </w:tcBorders>
          </w:tcPr>
          <w:p w14:paraId="1E05D787">
            <w:pPr>
              <w:spacing w:line="360" w:lineRule="auto"/>
              <w:jc w:val="center"/>
              <w:rPr>
                <w:rFonts w:ascii="宋体" w:hAnsi="宋体" w:cs="宋体"/>
                <w:color w:val="000000"/>
                <w:szCs w:val="21"/>
              </w:rPr>
            </w:pPr>
            <w:r>
              <w:rPr>
                <w:rFonts w:hint="eastAsia" w:ascii="宋体" w:hAnsi="宋体" w:cs="宋体"/>
                <w:color w:val="000000"/>
                <w:szCs w:val="21"/>
              </w:rPr>
              <w:t>5</w:t>
            </w:r>
          </w:p>
        </w:tc>
        <w:tc>
          <w:tcPr>
            <w:tcW w:w="1576" w:type="dxa"/>
            <w:tcBorders>
              <w:top w:val="single" w:color="auto" w:sz="4" w:space="0"/>
              <w:left w:val="single" w:color="auto" w:sz="4" w:space="0"/>
              <w:bottom w:val="single" w:color="auto" w:sz="4" w:space="0"/>
              <w:right w:val="single" w:color="auto" w:sz="4" w:space="0"/>
            </w:tcBorders>
          </w:tcPr>
          <w:p w14:paraId="2BB0BC72">
            <w:pPr>
              <w:spacing w:line="360" w:lineRule="auto"/>
              <w:jc w:val="center"/>
              <w:rPr>
                <w:rFonts w:ascii="宋体" w:hAnsi="宋体" w:cs="宋体"/>
                <w:color w:val="000000"/>
                <w:szCs w:val="21"/>
              </w:rPr>
            </w:pPr>
            <w:r>
              <w:rPr>
                <w:rFonts w:hint="eastAsia" w:ascii="宋体" w:hAnsi="宋体" w:cs="宋体"/>
                <w:color w:val="000000"/>
                <w:szCs w:val="21"/>
              </w:rPr>
              <w:t>6</w:t>
            </w:r>
          </w:p>
        </w:tc>
        <w:tc>
          <w:tcPr>
            <w:tcW w:w="1568" w:type="dxa"/>
            <w:tcBorders>
              <w:top w:val="single" w:color="auto" w:sz="4" w:space="0"/>
              <w:left w:val="single" w:color="auto" w:sz="4" w:space="0"/>
              <w:bottom w:val="single" w:color="auto" w:sz="4" w:space="0"/>
              <w:right w:val="single" w:color="auto" w:sz="4" w:space="0"/>
            </w:tcBorders>
          </w:tcPr>
          <w:p w14:paraId="332356E1">
            <w:pPr>
              <w:spacing w:line="360" w:lineRule="auto"/>
              <w:jc w:val="center"/>
              <w:rPr>
                <w:rFonts w:ascii="宋体" w:hAnsi="宋体" w:cs="宋体"/>
                <w:color w:val="000000"/>
                <w:szCs w:val="21"/>
              </w:rPr>
            </w:pPr>
            <w:r>
              <w:rPr>
                <w:rFonts w:hint="eastAsia" w:ascii="宋体" w:hAnsi="宋体" w:cs="宋体"/>
                <w:color w:val="000000"/>
                <w:szCs w:val="21"/>
              </w:rPr>
              <w:t>7</w:t>
            </w:r>
          </w:p>
        </w:tc>
      </w:tr>
      <w:tr w14:paraId="1B6A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10" w:type="dxa"/>
            <w:tcBorders>
              <w:top w:val="single" w:color="auto" w:sz="4" w:space="0"/>
            </w:tcBorders>
            <w:vAlign w:val="center"/>
          </w:tcPr>
          <w:p w14:paraId="3D6B9C5B">
            <w:pPr>
              <w:jc w:val="center"/>
              <w:rPr>
                <w:rFonts w:ascii="宋体" w:hAnsi="宋体" w:cs="宋体"/>
                <w:color w:val="000000"/>
                <w:szCs w:val="21"/>
              </w:rPr>
            </w:pPr>
          </w:p>
        </w:tc>
        <w:tc>
          <w:tcPr>
            <w:tcW w:w="2050" w:type="dxa"/>
            <w:tcBorders>
              <w:top w:val="single" w:color="auto" w:sz="4" w:space="0"/>
            </w:tcBorders>
            <w:vAlign w:val="center"/>
          </w:tcPr>
          <w:p w14:paraId="5E73B193">
            <w:pPr>
              <w:jc w:val="center"/>
              <w:rPr>
                <w:rFonts w:ascii="宋体" w:hAnsi="宋体" w:cs="宋体"/>
                <w:color w:val="000000"/>
                <w:szCs w:val="21"/>
              </w:rPr>
            </w:pPr>
            <w:r>
              <w:rPr>
                <w:rFonts w:hint="eastAsia" w:ascii="宋体" w:hAnsi="宋体" w:cs="宋体"/>
                <w:color w:val="000000"/>
                <w:szCs w:val="21"/>
              </w:rPr>
              <w:t>合计</w:t>
            </w:r>
          </w:p>
        </w:tc>
        <w:tc>
          <w:tcPr>
            <w:tcW w:w="1552" w:type="dxa"/>
            <w:tcBorders>
              <w:top w:val="single" w:color="auto" w:sz="4" w:space="0"/>
            </w:tcBorders>
            <w:vAlign w:val="center"/>
          </w:tcPr>
          <w:p w14:paraId="23B6945E">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1,032.92</w:t>
            </w:r>
          </w:p>
        </w:tc>
        <w:tc>
          <w:tcPr>
            <w:tcW w:w="1491" w:type="dxa"/>
            <w:tcBorders>
              <w:top w:val="single" w:color="auto" w:sz="4" w:space="0"/>
            </w:tcBorders>
            <w:vAlign w:val="center"/>
          </w:tcPr>
          <w:p w14:paraId="31A6F44D">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1,032.92</w:t>
            </w:r>
          </w:p>
        </w:tc>
        <w:tc>
          <w:tcPr>
            <w:tcW w:w="1576" w:type="dxa"/>
            <w:tcBorders>
              <w:top w:val="single" w:color="auto" w:sz="4" w:space="0"/>
            </w:tcBorders>
            <w:vAlign w:val="center"/>
          </w:tcPr>
          <w:p w14:paraId="438DA873">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0</w:t>
            </w:r>
          </w:p>
        </w:tc>
        <w:tc>
          <w:tcPr>
            <w:tcW w:w="1576" w:type="dxa"/>
            <w:tcBorders>
              <w:top w:val="single" w:color="auto" w:sz="4" w:space="0"/>
            </w:tcBorders>
            <w:vAlign w:val="center"/>
          </w:tcPr>
          <w:p w14:paraId="0269C671">
            <w:pPr>
              <w:widowControl/>
              <w:jc w:val="right"/>
              <w:rPr>
                <w:rFonts w:ascii="宋体" w:hAnsi="宋体" w:cs="宋体"/>
                <w:color w:val="000000"/>
                <w:kern w:val="0"/>
                <w:szCs w:val="21"/>
              </w:rPr>
            </w:pPr>
            <w:r>
              <w:rPr>
                <w:rFonts w:hint="eastAsia" w:ascii="宋体" w:hAnsi="宋体" w:eastAsia="宋体" w:cs="宋体"/>
                <w:color w:val="000000"/>
                <w:kern w:val="0"/>
                <w:szCs w:val="21"/>
                <w:lang w:eastAsia="zh-CN"/>
              </w:rPr>
              <w:t>0</w:t>
            </w:r>
          </w:p>
        </w:tc>
        <w:tc>
          <w:tcPr>
            <w:tcW w:w="1576" w:type="dxa"/>
            <w:tcBorders>
              <w:top w:val="single" w:color="auto" w:sz="4" w:space="0"/>
            </w:tcBorders>
            <w:vAlign w:val="center"/>
          </w:tcPr>
          <w:p w14:paraId="12564A0E">
            <w:pPr>
              <w:widowControl/>
              <w:jc w:val="right"/>
              <w:rPr>
                <w:rFonts w:ascii="宋体" w:hAnsi="宋体" w:cs="宋体"/>
                <w:color w:val="000000"/>
                <w:kern w:val="0"/>
                <w:szCs w:val="21"/>
              </w:rPr>
            </w:pPr>
            <w:r>
              <w:rPr>
                <w:rFonts w:ascii="宋体" w:hAnsi="宋体" w:cs="宋体"/>
                <w:color w:val="000000"/>
                <w:kern w:val="0"/>
                <w:szCs w:val="21"/>
              </w:rPr>
              <w:t>0</w:t>
            </w:r>
          </w:p>
        </w:tc>
        <w:tc>
          <w:tcPr>
            <w:tcW w:w="1576" w:type="dxa"/>
            <w:tcBorders>
              <w:top w:val="single" w:color="auto" w:sz="4" w:space="0"/>
            </w:tcBorders>
            <w:vAlign w:val="center"/>
          </w:tcPr>
          <w:p w14:paraId="02BD4102">
            <w:pPr>
              <w:widowControl/>
              <w:jc w:val="right"/>
              <w:rPr>
                <w:rFonts w:ascii="宋体" w:hAnsi="宋体" w:cs="宋体"/>
                <w:color w:val="000000"/>
                <w:kern w:val="0"/>
                <w:szCs w:val="21"/>
              </w:rPr>
            </w:pPr>
            <w:r>
              <w:rPr>
                <w:rFonts w:ascii="宋体" w:hAnsi="宋体" w:cs="宋体"/>
                <w:color w:val="000000"/>
                <w:kern w:val="0"/>
                <w:szCs w:val="21"/>
              </w:rPr>
              <w:t>0</w:t>
            </w:r>
          </w:p>
        </w:tc>
        <w:tc>
          <w:tcPr>
            <w:tcW w:w="1568" w:type="dxa"/>
            <w:tcBorders>
              <w:top w:val="single" w:color="auto" w:sz="4" w:space="0"/>
            </w:tcBorders>
            <w:vAlign w:val="center"/>
          </w:tcPr>
          <w:p w14:paraId="4A94EB44">
            <w:pPr>
              <w:widowControl/>
              <w:jc w:val="right"/>
              <w:rPr>
                <w:rFonts w:ascii="宋体" w:hAnsi="宋体" w:cs="宋体"/>
                <w:color w:val="000000"/>
                <w:kern w:val="0"/>
                <w:szCs w:val="21"/>
              </w:rPr>
            </w:pPr>
            <w:r>
              <w:rPr>
                <w:rFonts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2010301</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行政运行</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208.16</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208.16</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2010350</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事业运行</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114.07</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114.07</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2013699</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其他共产党事务支出</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0.70</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0.70</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2014002</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一般行政管理事务</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9.51</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9.51</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2014004</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信访业务</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419.23</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419.23</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2014099</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其他信访事务支出</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140.70</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140.70</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2080501</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行政单位离退休</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5.93</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5.93</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2080505</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机关事业单位基本养老保险缴费支出</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48.88</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48.88</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2080506</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机关事业单位职业年金缴费支出</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37.24</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37.24</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2089999</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其他社会保障和就业支出</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2.38</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2.38</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2101101</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行政单位医疗</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7.62</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7.62</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2101102</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事业单位医疗</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4.97</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4.97</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2101103</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公务员医疗补助</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4.07</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4.07</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2210201</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住房公积金</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29.45</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29.45</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22B2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bottom w:val="single" w:color="auto" w:sz="4" w:space="0"/>
            </w:tcBorders>
            <w:vAlign w:val="center"/>
          </w:tcPr>
          <w:p w14:paraId="364D07E6">
            <w:pPr>
              <w:widowControl/>
              <w:rPr>
                <w:rFonts w:hint="eastAsia" w:ascii="宋体" w:hAnsi="宋体" w:cs="宋体"/>
                <w:color w:val="000000"/>
                <w:kern w:val="0"/>
                <w:szCs w:val="21"/>
              </w:rPr>
            </w:pPr>
          </w:p>
        </w:tc>
        <w:tc>
          <w:tcPr>
            <w:tcW w:w="2050" w:type="dxa"/>
            <w:tcBorders>
              <w:top w:val="single" w:color="auto" w:sz="4" w:space="0"/>
              <w:bottom w:val="single" w:color="auto" w:sz="4" w:space="0"/>
            </w:tcBorders>
            <w:vAlign w:val="center"/>
          </w:tcPr>
          <w:p w14:paraId="2B7DBE06">
            <w:pPr>
              <w:widowControl/>
              <w:jc w:val="left"/>
              <w:rPr>
                <w:rFonts w:hint="eastAsia" w:ascii="宋体" w:hAnsi="宋体" w:cs="宋体"/>
                <w:color w:val="000000"/>
                <w:kern w:val="0"/>
                <w:szCs w:val="21"/>
              </w:rPr>
            </w:pPr>
          </w:p>
        </w:tc>
        <w:tc>
          <w:tcPr>
            <w:tcW w:w="1552" w:type="dxa"/>
            <w:tcBorders>
              <w:top w:val="single" w:color="auto" w:sz="4" w:space="0"/>
              <w:bottom w:val="single" w:color="auto" w:sz="4" w:space="0"/>
            </w:tcBorders>
            <w:vAlign w:val="center"/>
          </w:tcPr>
          <w:p w14:paraId="26EC55CD">
            <w:pPr>
              <w:widowControl/>
              <w:jc w:val="right"/>
              <w:rPr>
                <w:rFonts w:hint="eastAsia" w:ascii="宋体" w:hAnsi="宋体" w:cs="宋体"/>
                <w:color w:val="000000"/>
                <w:kern w:val="0"/>
                <w:szCs w:val="21"/>
              </w:rPr>
            </w:pPr>
          </w:p>
        </w:tc>
        <w:tc>
          <w:tcPr>
            <w:tcW w:w="1491" w:type="dxa"/>
            <w:tcBorders>
              <w:top w:val="single" w:color="auto" w:sz="4" w:space="0"/>
              <w:bottom w:val="single" w:color="auto" w:sz="4" w:space="0"/>
            </w:tcBorders>
            <w:vAlign w:val="center"/>
          </w:tcPr>
          <w:p w14:paraId="70571E17">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3ADD21EA">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0D95C1B1">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152A9E15">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086FBBA4">
            <w:pPr>
              <w:widowControl/>
              <w:jc w:val="right"/>
              <w:rPr>
                <w:rFonts w:hint="eastAsia" w:ascii="宋体" w:hAnsi="宋体" w:cs="宋体"/>
                <w:color w:val="000000"/>
                <w:kern w:val="0"/>
                <w:szCs w:val="21"/>
              </w:rPr>
            </w:pPr>
          </w:p>
        </w:tc>
        <w:tc>
          <w:tcPr>
            <w:tcW w:w="1568" w:type="dxa"/>
            <w:tcBorders>
              <w:top w:val="single" w:color="auto" w:sz="4" w:space="0"/>
              <w:bottom w:val="single" w:color="auto" w:sz="4" w:space="0"/>
            </w:tcBorders>
            <w:vAlign w:val="center"/>
          </w:tcPr>
          <w:p w14:paraId="13D9F305">
            <w:pPr>
              <w:widowControl/>
              <w:jc w:val="right"/>
              <w:textAlignment w:val="center"/>
              <w:rPr>
                <w:rFonts w:hint="eastAsia" w:ascii="宋体" w:hAnsi="宋体" w:cs="宋体"/>
                <w:color w:val="000000"/>
                <w:kern w:val="0"/>
                <w:szCs w:val="21"/>
              </w:rPr>
            </w:pPr>
          </w:p>
        </w:tc>
      </w:tr>
    </w:tbl>
    <w:p w14:paraId="7C647155">
      <w:pPr>
        <w:rPr>
          <w:rFonts w:hint="eastAsia"/>
          <w:color w:val="000000"/>
        </w:rPr>
      </w:pPr>
    </w:p>
    <w:p w14:paraId="691ABB36">
      <w:pPr>
        <w:rPr>
          <w:rFonts w:hint="eastAsia"/>
        </w:rPr>
      </w:pPr>
      <w:r>
        <w:rPr>
          <w:rFonts w:hint="eastAsia"/>
          <w:color w:val="000000"/>
        </w:rPr>
        <w:t>注：</w:t>
      </w:r>
      <w:bookmarkStart w:id="2" w:name="PO_part2Table1Remark2"/>
      <w:r>
        <w:rPr>
          <w:rFonts w:hint="eastAsia"/>
          <w:color w:val="000000"/>
        </w:rPr>
        <w:t xml:space="preserve"> 本表反映部门</w:t>
      </w:r>
      <w:r>
        <w:rPr>
          <w:rFonts w:hint="eastAsia"/>
          <w:color w:val="000000"/>
          <w:lang w:val="en-US" w:eastAsia="zh-CN"/>
        </w:rPr>
        <w:t>2024</w:t>
      </w:r>
      <w:r>
        <w:rPr>
          <w:rFonts w:hint="eastAsia"/>
          <w:color w:val="000000"/>
        </w:rPr>
        <w:t xml:space="preserve">年度取得的各项收入情况。 </w:t>
      </w:r>
      <w:bookmarkEnd w:id="2"/>
      <w:r>
        <w:rPr>
          <w:rFonts w:hint="eastAsia"/>
          <w:color w:val="000000"/>
        </w:rPr>
        <w:t xml:space="preserve"> </w:t>
      </w: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174"/>
        <w:gridCol w:w="1772"/>
        <w:gridCol w:w="1772"/>
        <w:gridCol w:w="1772"/>
        <w:gridCol w:w="1772"/>
        <w:gridCol w:w="1772"/>
        <w:gridCol w:w="1772"/>
      </w:tblGrid>
      <w:tr w14:paraId="313D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vAlign w:val="center"/>
          </w:tcPr>
          <w:p w14:paraId="6CB81E8E">
            <w:pPr>
              <w:keepNext w:val="0"/>
              <w:keepLines w:val="0"/>
              <w:pageBreakBefore/>
              <w:widowControl/>
              <w:kinsoku/>
              <w:wordWrap/>
              <w:overflowPunct/>
              <w:topLinePunct w:val="0"/>
              <w:autoSpaceDE/>
              <w:autoSpaceDN/>
              <w:bidi w:val="0"/>
              <w:adjustRightInd/>
              <w:snapToGrid/>
              <w:jc w:val="right"/>
              <w:textAlignment w:val="auto"/>
              <w:rPr>
                <w:rFonts w:ascii="宋体" w:hAnsi="宋体" w:cs="宋体"/>
                <w:color w:val="000000"/>
                <w:szCs w:val="21"/>
              </w:rPr>
            </w:pPr>
            <w:r>
              <w:rPr>
                <w:rFonts w:hint="eastAsia" w:ascii="宋体" w:hAnsi="宋体" w:cs="宋体"/>
                <w:color w:val="000000"/>
                <w:kern w:val="0"/>
                <w:sz w:val="20"/>
                <w:szCs w:val="20"/>
              </w:rPr>
              <w:t>表3</w:t>
            </w:r>
          </w:p>
        </w:tc>
      </w:tr>
      <w:tr w14:paraId="2E7F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tcPr>
          <w:p w14:paraId="71D20ABA">
            <w:pPr>
              <w:jc w:val="center"/>
              <w:rPr>
                <w:rFonts w:ascii="宋体" w:hAnsi="宋体" w:cs="宋体"/>
                <w:b/>
                <w:color w:val="000000"/>
                <w:szCs w:val="21"/>
              </w:rPr>
            </w:pPr>
            <w:r>
              <w:rPr>
                <w:rFonts w:hint="eastAsia" w:ascii="宋体" w:hAnsi="宋体" w:cs="宋体"/>
                <w:b/>
                <w:color w:val="000000"/>
                <w:kern w:val="0"/>
                <w:sz w:val="32"/>
                <w:szCs w:val="32"/>
              </w:rPr>
              <w:t>支出决算表</w:t>
            </w:r>
          </w:p>
        </w:tc>
      </w:tr>
      <w:tr w14:paraId="0351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402" w:type="dxa"/>
            <w:gridSpan w:val="7"/>
            <w:tcBorders>
              <w:top w:val="nil"/>
              <w:left w:val="nil"/>
              <w:bottom w:val="single" w:color="auto" w:sz="4" w:space="0"/>
              <w:right w:val="nil"/>
            </w:tcBorders>
            <w:vAlign w:val="center"/>
          </w:tcPr>
          <w:p w14:paraId="0A106187">
            <w:pPr>
              <w:jc w:val="left"/>
              <w:rPr>
                <w:rFonts w:ascii="宋体" w:hAnsi="宋体" w:cs="宋体"/>
                <w:color w:val="000000"/>
                <w:szCs w:val="21"/>
              </w:rPr>
            </w:pPr>
            <w:r>
              <w:rPr>
                <w:rFonts w:hint="eastAsia" w:ascii="宋体" w:hAnsi="宋体" w:cs="宋体"/>
                <w:color w:val="000000"/>
                <w:kern w:val="0"/>
                <w:sz w:val="20"/>
                <w:szCs w:val="20"/>
              </w:rPr>
              <w:t>部门</w:t>
            </w:r>
            <w:r>
              <w:rPr>
                <w:rFonts w:hint="eastAsia" w:ascii="宋体" w:hAnsi="宋体" w:cs="宋体"/>
                <w:color w:val="000000"/>
                <w:kern w:val="0"/>
                <w:szCs w:val="21"/>
              </w:rPr>
              <w:t>：</w:t>
            </w:r>
            <w:bookmarkStart w:id="3" w:name="PO_part2Table1DivName3"/>
            <w:r>
              <w:rPr>
                <w:rFonts w:hint="eastAsia" w:ascii="宋体" w:hAnsi="宋体" w:cs="宋体"/>
                <w:color w:val="000000" w:themeColor="text1"/>
                <w:kern w:val="0"/>
                <w:sz w:val="20"/>
                <w:szCs w:val="20"/>
                <w14:textFill>
                  <w14:solidFill>
                    <w14:schemeClr w14:val="tx1"/>
                  </w14:solidFill>
                </w14:textFill>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3"/>
          </w:p>
        </w:tc>
        <w:tc>
          <w:tcPr>
            <w:tcW w:w="1772" w:type="dxa"/>
            <w:tcBorders>
              <w:top w:val="nil"/>
              <w:left w:val="nil"/>
              <w:bottom w:val="single" w:color="auto" w:sz="4" w:space="0"/>
              <w:right w:val="nil"/>
            </w:tcBorders>
            <w:vAlign w:val="center"/>
          </w:tcPr>
          <w:p w14:paraId="443D58DE">
            <w:pPr>
              <w:widowControl/>
              <w:jc w:val="right"/>
              <w:rPr>
                <w:rFonts w:ascii="宋体" w:hAnsi="宋体" w:cs="宋体"/>
                <w:color w:val="000000"/>
                <w:kern w:val="0"/>
                <w:szCs w:val="21"/>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Cs w:val="21"/>
              </w:rPr>
              <w:t>元</w:t>
            </w:r>
          </w:p>
        </w:tc>
      </w:tr>
      <w:tr w14:paraId="55FE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2" w:type="dxa"/>
            <w:gridSpan w:val="2"/>
            <w:tcBorders>
              <w:top w:val="single" w:color="auto" w:sz="4" w:space="0"/>
            </w:tcBorders>
          </w:tcPr>
          <w:p w14:paraId="78DF81F3">
            <w:pPr>
              <w:jc w:val="center"/>
              <w:rPr>
                <w:rFonts w:ascii="宋体" w:hAnsi="宋体" w:cs="宋体"/>
                <w:color w:val="000000"/>
                <w:szCs w:val="21"/>
              </w:rPr>
            </w:pPr>
            <w:r>
              <w:rPr>
                <w:rFonts w:hint="eastAsia" w:ascii="宋体" w:hAnsi="宋体" w:cs="宋体"/>
                <w:color w:val="000000"/>
                <w:kern w:val="0"/>
                <w:szCs w:val="21"/>
              </w:rPr>
              <w:t>项    目</w:t>
            </w:r>
          </w:p>
        </w:tc>
        <w:tc>
          <w:tcPr>
            <w:tcW w:w="1772" w:type="dxa"/>
            <w:vMerge w:val="restart"/>
            <w:tcBorders>
              <w:top w:val="single" w:color="auto" w:sz="4" w:space="0"/>
            </w:tcBorders>
            <w:vAlign w:val="center"/>
          </w:tcPr>
          <w:p w14:paraId="0589FCE3">
            <w:pPr>
              <w:widowControl/>
              <w:jc w:val="center"/>
              <w:rPr>
                <w:rFonts w:ascii="宋体" w:hAnsi="宋体" w:cs="宋体"/>
                <w:color w:val="000000"/>
                <w:kern w:val="0"/>
                <w:szCs w:val="21"/>
              </w:rPr>
            </w:pPr>
            <w:r>
              <w:rPr>
                <w:rFonts w:hint="eastAsia" w:ascii="宋体" w:hAnsi="宋体" w:cs="宋体"/>
                <w:color w:val="000000"/>
                <w:kern w:val="0"/>
                <w:szCs w:val="21"/>
              </w:rPr>
              <w:t>本年支出合计</w:t>
            </w:r>
          </w:p>
        </w:tc>
        <w:tc>
          <w:tcPr>
            <w:tcW w:w="1772" w:type="dxa"/>
            <w:vMerge w:val="restart"/>
            <w:tcBorders>
              <w:top w:val="single" w:color="auto" w:sz="4" w:space="0"/>
            </w:tcBorders>
            <w:vAlign w:val="center"/>
          </w:tcPr>
          <w:p w14:paraId="4DD3723F">
            <w:pPr>
              <w:widowControl/>
              <w:jc w:val="center"/>
              <w:rPr>
                <w:rFonts w:ascii="宋体" w:hAnsi="宋体" w:cs="宋体"/>
                <w:color w:val="000000"/>
                <w:kern w:val="0"/>
                <w:szCs w:val="21"/>
              </w:rPr>
            </w:pPr>
            <w:r>
              <w:rPr>
                <w:rFonts w:hint="eastAsia" w:ascii="宋体" w:hAnsi="宋体" w:cs="宋体"/>
                <w:color w:val="000000"/>
                <w:kern w:val="0"/>
                <w:szCs w:val="21"/>
              </w:rPr>
              <w:t>基本支出</w:t>
            </w:r>
          </w:p>
        </w:tc>
        <w:tc>
          <w:tcPr>
            <w:tcW w:w="1772" w:type="dxa"/>
            <w:vMerge w:val="restart"/>
            <w:tcBorders>
              <w:top w:val="single" w:color="auto" w:sz="4" w:space="0"/>
            </w:tcBorders>
            <w:vAlign w:val="center"/>
          </w:tcPr>
          <w:p w14:paraId="05106295">
            <w:pPr>
              <w:widowControl/>
              <w:jc w:val="center"/>
              <w:rPr>
                <w:rFonts w:ascii="宋体" w:hAnsi="宋体" w:cs="宋体"/>
                <w:color w:val="000000"/>
                <w:kern w:val="0"/>
                <w:szCs w:val="21"/>
              </w:rPr>
            </w:pPr>
            <w:r>
              <w:rPr>
                <w:rFonts w:hint="eastAsia" w:ascii="宋体" w:hAnsi="宋体" w:cs="宋体"/>
                <w:color w:val="000000"/>
                <w:kern w:val="0"/>
                <w:szCs w:val="21"/>
              </w:rPr>
              <w:t>项目支出</w:t>
            </w:r>
          </w:p>
        </w:tc>
        <w:tc>
          <w:tcPr>
            <w:tcW w:w="1772" w:type="dxa"/>
            <w:vMerge w:val="restart"/>
            <w:tcBorders>
              <w:top w:val="single" w:color="auto" w:sz="4" w:space="0"/>
            </w:tcBorders>
            <w:vAlign w:val="center"/>
          </w:tcPr>
          <w:p w14:paraId="2C88B0C7">
            <w:pPr>
              <w:widowControl/>
              <w:jc w:val="center"/>
              <w:rPr>
                <w:rFonts w:ascii="宋体" w:hAnsi="宋体" w:cs="宋体"/>
                <w:color w:val="000000"/>
                <w:kern w:val="0"/>
                <w:szCs w:val="21"/>
              </w:rPr>
            </w:pPr>
            <w:r>
              <w:rPr>
                <w:rFonts w:hint="eastAsia" w:ascii="宋体" w:hAnsi="宋体" w:cs="宋体"/>
                <w:color w:val="000000"/>
                <w:kern w:val="0"/>
                <w:szCs w:val="21"/>
              </w:rPr>
              <w:t>上缴上级支出</w:t>
            </w:r>
          </w:p>
        </w:tc>
        <w:tc>
          <w:tcPr>
            <w:tcW w:w="1772" w:type="dxa"/>
            <w:vMerge w:val="restart"/>
            <w:tcBorders>
              <w:top w:val="single" w:color="auto" w:sz="4" w:space="0"/>
            </w:tcBorders>
            <w:vAlign w:val="center"/>
          </w:tcPr>
          <w:p w14:paraId="3FC966FD">
            <w:pPr>
              <w:widowControl/>
              <w:jc w:val="center"/>
              <w:rPr>
                <w:rFonts w:ascii="宋体" w:hAnsi="宋体" w:cs="宋体"/>
                <w:color w:val="000000"/>
                <w:kern w:val="0"/>
                <w:szCs w:val="21"/>
              </w:rPr>
            </w:pPr>
            <w:r>
              <w:rPr>
                <w:rFonts w:hint="eastAsia" w:ascii="宋体" w:hAnsi="宋体" w:cs="宋体"/>
                <w:color w:val="000000"/>
                <w:kern w:val="0"/>
                <w:szCs w:val="21"/>
              </w:rPr>
              <w:t>经营支出</w:t>
            </w:r>
          </w:p>
        </w:tc>
        <w:tc>
          <w:tcPr>
            <w:tcW w:w="1772" w:type="dxa"/>
            <w:vMerge w:val="restart"/>
            <w:tcBorders>
              <w:top w:val="single" w:color="auto" w:sz="4" w:space="0"/>
            </w:tcBorders>
            <w:vAlign w:val="center"/>
          </w:tcPr>
          <w:p w14:paraId="556E2F86">
            <w:pPr>
              <w:widowControl/>
              <w:jc w:val="center"/>
              <w:rPr>
                <w:rFonts w:ascii="宋体" w:hAnsi="宋体" w:cs="宋体"/>
                <w:color w:val="000000"/>
                <w:kern w:val="0"/>
                <w:szCs w:val="21"/>
              </w:rPr>
            </w:pPr>
            <w:r>
              <w:rPr>
                <w:rFonts w:hint="eastAsia" w:ascii="宋体" w:hAnsi="宋体" w:cs="宋体"/>
                <w:color w:val="000000"/>
                <w:kern w:val="0"/>
                <w:szCs w:val="21"/>
              </w:rPr>
              <w:t>对附属单位补助支出</w:t>
            </w:r>
          </w:p>
        </w:tc>
      </w:tr>
      <w:tr w14:paraId="6C85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368" w:type="dxa"/>
            <w:vAlign w:val="center"/>
          </w:tcPr>
          <w:p w14:paraId="4311C8E1">
            <w:pPr>
              <w:jc w:val="center"/>
              <w:rPr>
                <w:rFonts w:ascii="宋体" w:hAnsi="宋体" w:cs="宋体"/>
                <w:color w:val="000000"/>
                <w:szCs w:val="21"/>
              </w:rPr>
            </w:pPr>
            <w:r>
              <w:rPr>
                <w:rFonts w:hint="eastAsia" w:ascii="宋体" w:hAnsi="宋体" w:cs="宋体"/>
                <w:color w:val="000000"/>
                <w:kern w:val="0"/>
                <w:szCs w:val="21"/>
              </w:rPr>
              <w:t>科目编码</w:t>
            </w:r>
          </w:p>
        </w:tc>
        <w:tc>
          <w:tcPr>
            <w:tcW w:w="2174" w:type="dxa"/>
            <w:vAlign w:val="center"/>
          </w:tcPr>
          <w:p w14:paraId="784C81D2">
            <w:pPr>
              <w:jc w:val="center"/>
              <w:rPr>
                <w:rFonts w:ascii="宋体" w:hAnsi="宋体" w:cs="宋体"/>
                <w:color w:val="000000"/>
                <w:szCs w:val="21"/>
              </w:rPr>
            </w:pPr>
            <w:r>
              <w:rPr>
                <w:rFonts w:hint="eastAsia" w:ascii="宋体" w:hAnsi="宋体" w:cs="宋体"/>
                <w:color w:val="000000"/>
                <w:kern w:val="0"/>
                <w:szCs w:val="21"/>
              </w:rPr>
              <w:t>科目名称</w:t>
            </w:r>
          </w:p>
        </w:tc>
        <w:tc>
          <w:tcPr>
            <w:tcW w:w="1772" w:type="dxa"/>
            <w:vMerge w:val="continue"/>
          </w:tcPr>
          <w:p w14:paraId="1C40F970">
            <w:pPr>
              <w:spacing w:line="288" w:lineRule="auto"/>
              <w:rPr>
                <w:rFonts w:ascii="宋体" w:hAnsi="宋体" w:cs="宋体"/>
                <w:color w:val="000000"/>
                <w:szCs w:val="21"/>
              </w:rPr>
            </w:pPr>
          </w:p>
        </w:tc>
        <w:tc>
          <w:tcPr>
            <w:tcW w:w="1772" w:type="dxa"/>
            <w:vMerge w:val="continue"/>
          </w:tcPr>
          <w:p w14:paraId="17588554">
            <w:pPr>
              <w:spacing w:line="288" w:lineRule="auto"/>
              <w:rPr>
                <w:rFonts w:ascii="宋体" w:hAnsi="宋体" w:cs="宋体"/>
                <w:color w:val="000000"/>
                <w:szCs w:val="21"/>
              </w:rPr>
            </w:pPr>
          </w:p>
        </w:tc>
        <w:tc>
          <w:tcPr>
            <w:tcW w:w="1772" w:type="dxa"/>
            <w:vMerge w:val="continue"/>
          </w:tcPr>
          <w:p w14:paraId="34107CAD">
            <w:pPr>
              <w:spacing w:line="288" w:lineRule="auto"/>
              <w:rPr>
                <w:rFonts w:ascii="宋体" w:hAnsi="宋体" w:cs="宋体"/>
                <w:color w:val="000000"/>
                <w:szCs w:val="21"/>
              </w:rPr>
            </w:pPr>
          </w:p>
        </w:tc>
        <w:tc>
          <w:tcPr>
            <w:tcW w:w="1772" w:type="dxa"/>
            <w:vMerge w:val="continue"/>
          </w:tcPr>
          <w:p w14:paraId="5941714E">
            <w:pPr>
              <w:spacing w:line="288" w:lineRule="auto"/>
              <w:rPr>
                <w:rFonts w:ascii="宋体" w:hAnsi="宋体" w:cs="宋体"/>
                <w:color w:val="000000"/>
                <w:szCs w:val="21"/>
              </w:rPr>
            </w:pPr>
          </w:p>
        </w:tc>
        <w:tc>
          <w:tcPr>
            <w:tcW w:w="1772" w:type="dxa"/>
            <w:vMerge w:val="continue"/>
          </w:tcPr>
          <w:p w14:paraId="5DB18490">
            <w:pPr>
              <w:spacing w:line="288" w:lineRule="auto"/>
              <w:rPr>
                <w:rFonts w:ascii="宋体" w:hAnsi="宋体" w:cs="宋体"/>
                <w:color w:val="000000"/>
                <w:szCs w:val="21"/>
              </w:rPr>
            </w:pPr>
          </w:p>
        </w:tc>
        <w:tc>
          <w:tcPr>
            <w:tcW w:w="1772" w:type="dxa"/>
            <w:vMerge w:val="continue"/>
          </w:tcPr>
          <w:p w14:paraId="765F8DD6">
            <w:pPr>
              <w:spacing w:line="288" w:lineRule="auto"/>
              <w:rPr>
                <w:rFonts w:ascii="宋体" w:hAnsi="宋体" w:cs="宋体"/>
                <w:color w:val="000000"/>
                <w:szCs w:val="21"/>
              </w:rPr>
            </w:pPr>
          </w:p>
        </w:tc>
      </w:tr>
      <w:tr w14:paraId="3DBF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2" w:type="dxa"/>
            <w:gridSpan w:val="2"/>
            <w:vAlign w:val="center"/>
          </w:tcPr>
          <w:p w14:paraId="4FFE1718">
            <w:pPr>
              <w:jc w:val="center"/>
              <w:rPr>
                <w:rFonts w:ascii="宋体" w:hAnsi="宋体" w:cs="宋体"/>
                <w:color w:val="000000"/>
                <w:szCs w:val="21"/>
              </w:rPr>
            </w:pPr>
            <w:r>
              <w:rPr>
                <w:rFonts w:hint="eastAsia" w:ascii="宋体" w:hAnsi="宋体" w:cs="宋体"/>
                <w:color w:val="000000"/>
                <w:kern w:val="0"/>
                <w:szCs w:val="21"/>
              </w:rPr>
              <w:t>栏次</w:t>
            </w:r>
          </w:p>
        </w:tc>
        <w:tc>
          <w:tcPr>
            <w:tcW w:w="1772" w:type="dxa"/>
            <w:vAlign w:val="center"/>
          </w:tcPr>
          <w:p w14:paraId="2E937A95">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772" w:type="dxa"/>
            <w:vAlign w:val="center"/>
          </w:tcPr>
          <w:p w14:paraId="3DA3404C">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772" w:type="dxa"/>
            <w:vAlign w:val="center"/>
          </w:tcPr>
          <w:p w14:paraId="3F2AF04D">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772" w:type="dxa"/>
            <w:vAlign w:val="center"/>
          </w:tcPr>
          <w:p w14:paraId="0E63B623">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772" w:type="dxa"/>
            <w:vAlign w:val="center"/>
          </w:tcPr>
          <w:p w14:paraId="7775C148">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772" w:type="dxa"/>
            <w:vAlign w:val="center"/>
          </w:tcPr>
          <w:p w14:paraId="550C9508">
            <w:pPr>
              <w:widowControl/>
              <w:jc w:val="center"/>
              <w:rPr>
                <w:rFonts w:ascii="宋体" w:hAnsi="宋体" w:cs="宋体"/>
                <w:color w:val="000000"/>
                <w:kern w:val="0"/>
                <w:szCs w:val="21"/>
              </w:rPr>
            </w:pPr>
            <w:r>
              <w:rPr>
                <w:rFonts w:hint="eastAsia" w:ascii="宋体" w:hAnsi="宋体" w:cs="宋体"/>
                <w:color w:val="000000"/>
                <w:kern w:val="0"/>
                <w:szCs w:val="21"/>
              </w:rPr>
              <w:t>6</w:t>
            </w:r>
          </w:p>
        </w:tc>
      </w:tr>
      <w:tr w14:paraId="663A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368" w:type="dxa"/>
          </w:tcPr>
          <w:p w14:paraId="76F1B952">
            <w:pPr>
              <w:jc w:val="center"/>
              <w:rPr>
                <w:rFonts w:ascii="宋体" w:hAnsi="宋体" w:cs="宋体"/>
                <w:color w:val="000000"/>
                <w:szCs w:val="21"/>
              </w:rPr>
            </w:pPr>
          </w:p>
        </w:tc>
        <w:tc>
          <w:tcPr>
            <w:tcW w:w="2174" w:type="dxa"/>
            <w:vAlign w:val="center"/>
          </w:tcPr>
          <w:p w14:paraId="5475FE9D">
            <w:pPr>
              <w:jc w:val="center"/>
              <w:rPr>
                <w:rFonts w:ascii="宋体" w:hAnsi="宋体" w:cs="宋体"/>
                <w:color w:val="000000"/>
                <w:szCs w:val="21"/>
              </w:rPr>
            </w:pPr>
            <w:r>
              <w:rPr>
                <w:rFonts w:hint="eastAsia" w:ascii="宋体" w:hAnsi="宋体" w:cs="宋体"/>
                <w:color w:val="000000"/>
                <w:szCs w:val="21"/>
              </w:rPr>
              <w:t>合计</w:t>
            </w:r>
          </w:p>
        </w:tc>
        <w:tc>
          <w:tcPr>
            <w:tcW w:w="1772" w:type="dxa"/>
            <w:vAlign w:val="center"/>
          </w:tcPr>
          <w:p w14:paraId="630B40F4">
            <w:pPr>
              <w:widowControl/>
              <w:jc w:val="right"/>
              <w:rPr>
                <w:rFonts w:hint="default"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1,032.92</w:t>
            </w:r>
          </w:p>
        </w:tc>
        <w:tc>
          <w:tcPr>
            <w:tcW w:w="1772" w:type="dxa"/>
            <w:vAlign w:val="center"/>
          </w:tcPr>
          <w:p w14:paraId="3B5913B1">
            <w:pPr>
              <w:widowControl/>
              <w:jc w:val="right"/>
              <w:rPr>
                <w:rFonts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460.39</w:t>
            </w:r>
          </w:p>
        </w:tc>
        <w:tc>
          <w:tcPr>
            <w:tcW w:w="1772" w:type="dxa"/>
            <w:vAlign w:val="center"/>
          </w:tcPr>
          <w:p w14:paraId="0ED7E63D">
            <w:pPr>
              <w:widowControl/>
              <w:jc w:val="right"/>
              <w:rPr>
                <w:rFonts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572.52</w:t>
            </w:r>
          </w:p>
        </w:tc>
        <w:tc>
          <w:tcPr>
            <w:tcW w:w="1772" w:type="dxa"/>
            <w:vAlign w:val="center"/>
          </w:tcPr>
          <w:p w14:paraId="41E9C40C">
            <w:pPr>
              <w:widowControl/>
              <w:jc w:val="right"/>
              <w:rPr>
                <w:rFonts w:ascii="宋体" w:hAnsi="宋体" w:cs="宋体"/>
                <w:color w:val="000000"/>
                <w:kern w:val="0"/>
                <w:szCs w:val="21"/>
              </w:rPr>
            </w:pPr>
            <w:r>
              <w:rPr>
                <w:rFonts w:hint="default" w:ascii="宋体" w:hAnsi="宋体" w:eastAsia="宋体" w:cs="宋体"/>
                <w:color w:val="000000"/>
                <w:kern w:val="0"/>
                <w:sz w:val="21"/>
                <w:szCs w:val="21"/>
                <w:lang w:val="en-US" w:eastAsia="zh-CN" w:bidi="ar-SA"/>
              </w:rPr>
              <w:t>0</w:t>
            </w:r>
          </w:p>
        </w:tc>
        <w:tc>
          <w:tcPr>
            <w:tcW w:w="1772" w:type="dxa"/>
            <w:vAlign w:val="center"/>
          </w:tcPr>
          <w:p w14:paraId="735BF77D">
            <w:pPr>
              <w:widowControl/>
              <w:jc w:val="right"/>
              <w:rPr>
                <w:rFonts w:ascii="宋体" w:hAnsi="宋体" w:cs="宋体"/>
                <w:color w:val="000000"/>
                <w:kern w:val="0"/>
                <w:szCs w:val="21"/>
              </w:rPr>
            </w:pPr>
            <w:r>
              <w:rPr>
                <w:rFonts w:hint="default" w:ascii="宋体" w:hAnsi="宋体" w:eastAsia="宋体" w:cs="宋体"/>
                <w:color w:val="000000"/>
                <w:kern w:val="0"/>
                <w:sz w:val="21"/>
                <w:szCs w:val="21"/>
                <w:lang w:val="en-US" w:eastAsia="zh-CN" w:bidi="ar-SA"/>
              </w:rPr>
              <w:t>0</w:t>
            </w:r>
          </w:p>
        </w:tc>
        <w:tc>
          <w:tcPr>
            <w:tcW w:w="1772" w:type="dxa"/>
            <w:vAlign w:val="center"/>
          </w:tcPr>
          <w:p w14:paraId="219F031E">
            <w:pPr>
              <w:widowControl/>
              <w:jc w:val="right"/>
              <w:rPr>
                <w:rFonts w:hint="default" w:ascii="宋体" w:hAnsi="宋体" w:cs="宋体"/>
                <w:color w:val="000000"/>
                <w:kern w:val="0"/>
                <w:szCs w:val="21"/>
                <w:lang w:val="en-US"/>
              </w:rPr>
            </w:pPr>
            <w:r>
              <w:rPr>
                <w:rFonts w:hint="default" w:ascii="宋体" w:hAnsi="宋体" w:cs="宋体"/>
                <w:color w:val="000000"/>
                <w:kern w:val="0"/>
                <w:szCs w:val="21"/>
                <w:lang w:val="en-US"/>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2010301</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行政运行</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208.16</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208.16</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2010350</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事业运行</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114.07</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114.07</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2013699</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其他共产党事务支出</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0.70</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0.70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2014002</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一般行政管理事务</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9.51</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9.51</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2014004</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信访业务</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419.23</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419.23</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2014099</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其他信访事务支出</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140.70</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140.70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2080501</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行政单位离退休</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5.93</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5.93</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2080505</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机关事业单位基本养老保险缴费支出</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48.88</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48.88</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2080506</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机关事业单位职业年金缴费支出</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37.24</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37.24</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2089999</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其他社会保障和就业支出</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2.38</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2.38</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2101101</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行政单位医疗</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7.62</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7.62</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2101102</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事业单位医疗</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4.97</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4.97</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2101103</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公务员医疗补助</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4.07</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4.07</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2210201</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住房公积金</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29.45</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29.45</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1F0D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7320C6DE">
            <w:pPr>
              <w:widowControl/>
              <w:rPr>
                <w:rFonts w:hint="eastAsia" w:ascii="宋体" w:hAnsi="宋体" w:cs="宋体"/>
                <w:color w:val="000000"/>
                <w:kern w:val="0"/>
                <w:szCs w:val="21"/>
              </w:rPr>
            </w:pPr>
          </w:p>
        </w:tc>
        <w:tc>
          <w:tcPr>
            <w:tcW w:w="2174" w:type="dxa"/>
            <w:vAlign w:val="center"/>
          </w:tcPr>
          <w:p w14:paraId="1C659BD4">
            <w:pPr>
              <w:widowControl/>
              <w:jc w:val="left"/>
              <w:rPr>
                <w:rFonts w:hint="eastAsia" w:ascii="宋体" w:hAnsi="宋体" w:cs="宋体"/>
                <w:color w:val="000000"/>
                <w:kern w:val="0"/>
                <w:szCs w:val="21"/>
              </w:rPr>
            </w:pPr>
          </w:p>
        </w:tc>
        <w:tc>
          <w:tcPr>
            <w:tcW w:w="1772" w:type="dxa"/>
            <w:vAlign w:val="center"/>
          </w:tcPr>
          <w:p w14:paraId="21C6024C">
            <w:pPr>
              <w:widowControl/>
              <w:jc w:val="right"/>
              <w:rPr>
                <w:rFonts w:hint="eastAsia" w:ascii="宋体" w:hAnsi="宋体" w:eastAsia="宋体" w:cs="宋体"/>
                <w:color w:val="000000"/>
                <w:kern w:val="0"/>
                <w:sz w:val="21"/>
                <w:szCs w:val="21"/>
                <w:lang w:val="en-US" w:eastAsia="zh-CN" w:bidi="ar-SA"/>
              </w:rPr>
            </w:pPr>
          </w:p>
        </w:tc>
        <w:tc>
          <w:tcPr>
            <w:tcW w:w="1772" w:type="dxa"/>
            <w:vAlign w:val="center"/>
          </w:tcPr>
          <w:p w14:paraId="042E6E5C">
            <w:pPr>
              <w:widowControl/>
              <w:jc w:val="right"/>
              <w:rPr>
                <w:rFonts w:hint="eastAsia" w:ascii="宋体" w:hAnsi="宋体" w:eastAsia="宋体" w:cs="宋体"/>
                <w:color w:val="000000"/>
                <w:kern w:val="0"/>
                <w:sz w:val="21"/>
                <w:szCs w:val="21"/>
                <w:lang w:val="en-US" w:eastAsia="zh-CN" w:bidi="ar-SA"/>
              </w:rPr>
            </w:pPr>
          </w:p>
        </w:tc>
        <w:tc>
          <w:tcPr>
            <w:tcW w:w="1772" w:type="dxa"/>
            <w:vAlign w:val="center"/>
          </w:tcPr>
          <w:p w14:paraId="637CA383">
            <w:pPr>
              <w:widowControl/>
              <w:jc w:val="right"/>
              <w:rPr>
                <w:rFonts w:hint="eastAsia" w:ascii="宋体" w:hAnsi="宋体" w:eastAsia="宋体" w:cs="宋体"/>
                <w:color w:val="000000"/>
                <w:kern w:val="0"/>
                <w:sz w:val="21"/>
                <w:szCs w:val="21"/>
                <w:lang w:val="en-US" w:eastAsia="zh-CN" w:bidi="ar-SA"/>
              </w:rPr>
            </w:pPr>
          </w:p>
        </w:tc>
        <w:tc>
          <w:tcPr>
            <w:tcW w:w="1772" w:type="dxa"/>
            <w:vAlign w:val="center"/>
          </w:tcPr>
          <w:p w14:paraId="78FCE773">
            <w:pPr>
              <w:widowControl/>
              <w:jc w:val="right"/>
              <w:rPr>
                <w:rFonts w:hint="eastAsia" w:ascii="宋体" w:hAnsi="宋体" w:cs="宋体"/>
                <w:color w:val="000000"/>
                <w:kern w:val="0"/>
                <w:szCs w:val="21"/>
              </w:rPr>
            </w:pPr>
          </w:p>
        </w:tc>
        <w:tc>
          <w:tcPr>
            <w:tcW w:w="1772" w:type="dxa"/>
            <w:vAlign w:val="center"/>
          </w:tcPr>
          <w:p w14:paraId="2FE807CB">
            <w:pPr>
              <w:widowControl/>
              <w:jc w:val="right"/>
              <w:rPr>
                <w:rFonts w:hint="eastAsia" w:ascii="宋体" w:hAnsi="宋体" w:cs="宋体"/>
                <w:color w:val="000000"/>
                <w:kern w:val="0"/>
                <w:szCs w:val="21"/>
              </w:rPr>
            </w:pPr>
          </w:p>
        </w:tc>
        <w:tc>
          <w:tcPr>
            <w:tcW w:w="1772" w:type="dxa"/>
            <w:vAlign w:val="center"/>
          </w:tcPr>
          <w:p w14:paraId="74FC7834">
            <w:pPr>
              <w:widowControl/>
              <w:jc w:val="right"/>
              <w:rPr>
                <w:rFonts w:hint="eastAsia" w:ascii="宋体" w:hAnsi="宋体" w:cs="宋体"/>
                <w:color w:val="000000"/>
                <w:kern w:val="0"/>
                <w:szCs w:val="21"/>
              </w:rPr>
            </w:pPr>
          </w:p>
        </w:tc>
      </w:tr>
    </w:tbl>
    <w:p w14:paraId="14C73340">
      <w:pPr>
        <w:rPr>
          <w:rFonts w:hint="eastAsia"/>
          <w:color w:val="000000"/>
        </w:rPr>
      </w:pPr>
    </w:p>
    <w:p w14:paraId="70F99B63">
      <w:pPr>
        <w:rPr>
          <w:color w:val="000000"/>
        </w:rPr>
        <w:sectPr>
          <w:pgSz w:w="16838" w:h="11906" w:orient="landscape"/>
          <w:pgMar w:top="1800" w:right="1440" w:bottom="1800" w:left="1440" w:header="851" w:footer="992" w:gutter="0"/>
          <w:cols w:space="720" w:num="1"/>
          <w:docGrid w:type="lines" w:linePitch="312" w:charSpace="0"/>
        </w:sectPr>
      </w:pPr>
      <w:r>
        <w:rPr>
          <w:rFonts w:hint="eastAsia"/>
          <w:color w:val="000000"/>
        </w:rPr>
        <w:t>注：</w:t>
      </w:r>
      <w:bookmarkStart w:id="4" w:name="PO_part2Table1Remark3"/>
      <w:r>
        <w:rPr>
          <w:rFonts w:hint="eastAsia"/>
          <w:color w:val="000000"/>
        </w:rPr>
        <w:t xml:space="preserve"> 本表反映部门</w:t>
      </w:r>
      <w:r>
        <w:rPr>
          <w:rFonts w:hint="eastAsia"/>
          <w:color w:val="000000"/>
          <w:lang w:val="en-US" w:eastAsia="zh-CN"/>
        </w:rPr>
        <w:t>2024</w:t>
      </w:r>
      <w:r>
        <w:rPr>
          <w:rFonts w:hint="eastAsia"/>
          <w:color w:val="000000"/>
        </w:rPr>
        <w:t xml:space="preserve">年度各项支出情况。 </w:t>
      </w:r>
      <w:bookmarkEnd w:id="4"/>
      <w:r>
        <w:rPr>
          <w:rFonts w:hint="eastAsia"/>
          <w:color w:val="000000"/>
        </w:rPr>
        <w:t xml:space="preserve"> </w:t>
      </w:r>
    </w:p>
    <w:p w14:paraId="578C472D">
      <w:pPr>
        <w:jc w:val="left"/>
        <w:rPr>
          <w:rFonts w:hint="eastAsia"/>
        </w:rPr>
      </w:pPr>
    </w:p>
    <w:tbl>
      <w:tblPr>
        <w:tblStyle w:val="6"/>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8"/>
        <w:gridCol w:w="678"/>
        <w:gridCol w:w="1338"/>
        <w:gridCol w:w="2464"/>
        <w:gridCol w:w="688"/>
        <w:gridCol w:w="1575"/>
        <w:gridCol w:w="1576"/>
        <w:gridCol w:w="1572"/>
        <w:gridCol w:w="1564"/>
      </w:tblGrid>
      <w:tr w14:paraId="2E70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vAlign w:val="center"/>
          </w:tcPr>
          <w:p w14:paraId="473B3CC9">
            <w:pPr>
              <w:jc w:val="right"/>
              <w:rPr>
                <w:rFonts w:ascii="宋体" w:hAnsi="宋体" w:cs="宋体"/>
                <w:color w:val="000000"/>
                <w:kern w:val="0"/>
                <w:sz w:val="20"/>
                <w:szCs w:val="20"/>
              </w:rPr>
            </w:pPr>
            <w:r>
              <w:rPr>
                <w:rFonts w:hint="eastAsia" w:ascii="宋体" w:hAnsi="宋体" w:cs="宋体"/>
                <w:color w:val="000000"/>
                <w:kern w:val="0"/>
                <w:sz w:val="20"/>
                <w:szCs w:val="20"/>
              </w:rPr>
              <w:t>表4</w:t>
            </w:r>
          </w:p>
        </w:tc>
      </w:tr>
      <w:tr w14:paraId="4459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tcPr>
          <w:p w14:paraId="72FF678C">
            <w:pPr>
              <w:jc w:val="center"/>
              <w:rPr>
                <w:rFonts w:ascii="宋体" w:hAnsi="宋体" w:cs="宋体"/>
                <w:b/>
                <w:color w:val="000000"/>
                <w:kern w:val="0"/>
                <w:sz w:val="32"/>
                <w:szCs w:val="32"/>
              </w:rPr>
            </w:pPr>
            <w:r>
              <w:rPr>
                <w:rFonts w:hint="eastAsia" w:ascii="宋体" w:hAnsi="宋体" w:cs="宋体"/>
                <w:b/>
                <w:color w:val="000000"/>
                <w:kern w:val="0"/>
                <w:sz w:val="32"/>
                <w:szCs w:val="32"/>
              </w:rPr>
              <w:t>财政拨款收入支出决算总表</w:t>
            </w:r>
          </w:p>
        </w:tc>
      </w:tr>
      <w:tr w14:paraId="6D9B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027" w:type="dxa"/>
            <w:gridSpan w:val="7"/>
            <w:tcBorders>
              <w:top w:val="nil"/>
              <w:left w:val="nil"/>
              <w:bottom w:val="single" w:color="auto" w:sz="4" w:space="0"/>
              <w:right w:val="nil"/>
            </w:tcBorders>
          </w:tcPr>
          <w:p w14:paraId="0C033189">
            <w:pPr>
              <w:spacing w:line="288" w:lineRule="auto"/>
              <w:rPr>
                <w:rFonts w:ascii="宋体" w:hAnsi="宋体" w:cs="宋体"/>
                <w:color w:val="000000"/>
                <w:sz w:val="28"/>
                <w:szCs w:val="28"/>
              </w:rPr>
            </w:pPr>
            <w:r>
              <w:rPr>
                <w:rFonts w:hint="eastAsia" w:ascii="宋体" w:hAnsi="宋体" w:cs="宋体"/>
                <w:color w:val="000000"/>
                <w:kern w:val="0"/>
                <w:sz w:val="20"/>
                <w:szCs w:val="20"/>
              </w:rPr>
              <w:t>部门：</w:t>
            </w:r>
            <w:bookmarkStart w:id="5" w:name="PO_part2Table1DivName4"/>
            <w:r>
              <w:rPr>
                <w:rFonts w:hint="eastAsia" w:ascii="宋体" w:hAnsi="宋体" w:cs="宋体"/>
                <w:color w:val="000000" w:themeColor="text1"/>
                <w:kern w:val="0"/>
                <w:sz w:val="20"/>
                <w:szCs w:val="20"/>
                <w14:textFill>
                  <w14:solidFill>
                    <w14:schemeClr w14:val="tx1"/>
                  </w14:solidFill>
                </w14:textFill>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5"/>
          </w:p>
        </w:tc>
        <w:tc>
          <w:tcPr>
            <w:tcW w:w="3136" w:type="dxa"/>
            <w:gridSpan w:val="2"/>
            <w:tcBorders>
              <w:top w:val="nil"/>
              <w:left w:val="nil"/>
              <w:bottom w:val="single" w:color="auto" w:sz="4" w:space="0"/>
              <w:right w:val="nil"/>
            </w:tcBorders>
            <w:vAlign w:val="center"/>
          </w:tcPr>
          <w:p w14:paraId="152C00A6">
            <w:pPr>
              <w:jc w:val="right"/>
              <w:rPr>
                <w:rFonts w:ascii="宋体" w:hAnsi="宋体" w:cs="宋体"/>
                <w:color w:val="000000"/>
                <w:kern w:val="0"/>
                <w:sz w:val="20"/>
                <w:szCs w:val="2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3155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724" w:type="dxa"/>
            <w:gridSpan w:val="3"/>
            <w:tcBorders>
              <w:top w:val="single" w:color="auto" w:sz="4" w:space="0"/>
            </w:tcBorders>
            <w:vAlign w:val="center"/>
          </w:tcPr>
          <w:p w14:paraId="224ECB73">
            <w:pPr>
              <w:jc w:val="center"/>
              <w:rPr>
                <w:rFonts w:ascii="宋体" w:hAnsi="宋体" w:cs="宋体"/>
                <w:color w:val="000000"/>
                <w:szCs w:val="21"/>
              </w:rPr>
            </w:pPr>
            <w:r>
              <w:rPr>
                <w:rFonts w:hint="eastAsia" w:ascii="宋体" w:hAnsi="宋体" w:cs="宋体"/>
                <w:color w:val="000000"/>
                <w:kern w:val="0"/>
                <w:szCs w:val="21"/>
              </w:rPr>
              <w:t>收入</w:t>
            </w:r>
          </w:p>
        </w:tc>
        <w:tc>
          <w:tcPr>
            <w:tcW w:w="9439" w:type="dxa"/>
            <w:gridSpan w:val="6"/>
            <w:tcBorders>
              <w:top w:val="single" w:color="auto" w:sz="4" w:space="0"/>
            </w:tcBorders>
            <w:vAlign w:val="center"/>
          </w:tcPr>
          <w:p w14:paraId="05735183">
            <w:pPr>
              <w:jc w:val="center"/>
              <w:rPr>
                <w:rFonts w:ascii="宋体" w:hAnsi="宋体" w:cs="宋体"/>
                <w:color w:val="000000"/>
                <w:kern w:val="0"/>
                <w:szCs w:val="21"/>
              </w:rPr>
            </w:pPr>
            <w:r>
              <w:rPr>
                <w:rFonts w:hint="eastAsia" w:ascii="宋体" w:hAnsi="宋体" w:cs="宋体"/>
                <w:color w:val="000000"/>
                <w:kern w:val="0"/>
                <w:szCs w:val="21"/>
              </w:rPr>
              <w:t>支出</w:t>
            </w:r>
          </w:p>
        </w:tc>
      </w:tr>
      <w:tr w14:paraId="19C1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708" w:type="dxa"/>
            <w:vAlign w:val="center"/>
          </w:tcPr>
          <w:p w14:paraId="54F754EE">
            <w:pPr>
              <w:widowControl/>
              <w:jc w:val="center"/>
              <w:rPr>
                <w:rFonts w:ascii="宋体" w:hAnsi="宋体" w:cs="宋体"/>
                <w:color w:val="000000"/>
                <w:kern w:val="0"/>
                <w:szCs w:val="21"/>
              </w:rPr>
            </w:pPr>
            <w:r>
              <w:rPr>
                <w:rFonts w:hint="eastAsia" w:ascii="宋体" w:hAnsi="宋体" w:cs="宋体"/>
                <w:color w:val="000000"/>
                <w:kern w:val="0"/>
                <w:szCs w:val="21"/>
              </w:rPr>
              <w:t>项    目</w:t>
            </w:r>
          </w:p>
        </w:tc>
        <w:tc>
          <w:tcPr>
            <w:tcW w:w="678" w:type="dxa"/>
            <w:vAlign w:val="center"/>
          </w:tcPr>
          <w:p w14:paraId="6201E4F7">
            <w:pPr>
              <w:widowControl/>
              <w:jc w:val="center"/>
              <w:rPr>
                <w:rFonts w:ascii="宋体" w:hAnsi="宋体" w:cs="宋体"/>
                <w:color w:val="000000"/>
                <w:kern w:val="0"/>
                <w:szCs w:val="21"/>
              </w:rPr>
            </w:pPr>
            <w:r>
              <w:rPr>
                <w:rFonts w:hint="eastAsia" w:ascii="宋体" w:hAnsi="宋体" w:cs="宋体"/>
                <w:color w:val="000000"/>
                <w:kern w:val="0"/>
                <w:szCs w:val="21"/>
              </w:rPr>
              <w:t>行次</w:t>
            </w:r>
          </w:p>
        </w:tc>
        <w:tc>
          <w:tcPr>
            <w:tcW w:w="1338" w:type="dxa"/>
            <w:vAlign w:val="center"/>
          </w:tcPr>
          <w:p w14:paraId="6DB367C4">
            <w:pPr>
              <w:widowControl/>
              <w:jc w:val="center"/>
              <w:rPr>
                <w:rFonts w:ascii="宋体" w:hAnsi="宋体" w:cs="宋体"/>
                <w:color w:val="000000"/>
                <w:kern w:val="0"/>
                <w:szCs w:val="21"/>
              </w:rPr>
            </w:pPr>
            <w:r>
              <w:rPr>
                <w:rFonts w:hint="eastAsia" w:ascii="宋体" w:hAnsi="宋体" w:cs="宋体"/>
                <w:color w:val="000000"/>
                <w:kern w:val="0"/>
                <w:szCs w:val="21"/>
              </w:rPr>
              <w:t>金额</w:t>
            </w:r>
          </w:p>
        </w:tc>
        <w:tc>
          <w:tcPr>
            <w:tcW w:w="2464" w:type="dxa"/>
            <w:vAlign w:val="center"/>
          </w:tcPr>
          <w:p w14:paraId="01151823">
            <w:pPr>
              <w:widowControl/>
              <w:jc w:val="center"/>
              <w:rPr>
                <w:rFonts w:ascii="宋体" w:hAnsi="宋体" w:cs="宋体"/>
                <w:color w:val="000000"/>
                <w:kern w:val="0"/>
                <w:szCs w:val="21"/>
              </w:rPr>
            </w:pPr>
            <w:r>
              <w:rPr>
                <w:rFonts w:hint="eastAsia" w:ascii="宋体" w:hAnsi="宋体" w:cs="宋体"/>
                <w:color w:val="000000"/>
                <w:kern w:val="0"/>
                <w:szCs w:val="21"/>
              </w:rPr>
              <w:t>项    目</w:t>
            </w:r>
          </w:p>
        </w:tc>
        <w:tc>
          <w:tcPr>
            <w:tcW w:w="688" w:type="dxa"/>
            <w:vAlign w:val="center"/>
          </w:tcPr>
          <w:p w14:paraId="7B9573D5">
            <w:pPr>
              <w:widowControl/>
              <w:jc w:val="center"/>
              <w:rPr>
                <w:rFonts w:ascii="宋体" w:hAnsi="宋体" w:cs="宋体"/>
                <w:color w:val="000000"/>
                <w:kern w:val="0"/>
                <w:szCs w:val="21"/>
              </w:rPr>
            </w:pPr>
            <w:r>
              <w:rPr>
                <w:rFonts w:hint="eastAsia" w:ascii="宋体" w:hAnsi="宋体" w:cs="宋体"/>
                <w:color w:val="000000"/>
                <w:kern w:val="0"/>
                <w:szCs w:val="21"/>
              </w:rPr>
              <w:t>行次</w:t>
            </w:r>
          </w:p>
        </w:tc>
        <w:tc>
          <w:tcPr>
            <w:tcW w:w="1575" w:type="dxa"/>
            <w:vAlign w:val="center"/>
          </w:tcPr>
          <w:p w14:paraId="50C8F59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76" w:type="dxa"/>
            <w:vAlign w:val="center"/>
          </w:tcPr>
          <w:p w14:paraId="1B49BBCD">
            <w:pPr>
              <w:widowControl/>
              <w:jc w:val="center"/>
              <w:rPr>
                <w:rFonts w:ascii="宋体" w:hAnsi="宋体" w:cs="宋体"/>
                <w:color w:val="000000"/>
                <w:kern w:val="0"/>
                <w:szCs w:val="21"/>
              </w:rPr>
            </w:pPr>
            <w:r>
              <w:rPr>
                <w:rFonts w:hint="eastAsia" w:ascii="宋体" w:hAnsi="宋体" w:cs="宋体"/>
                <w:color w:val="000000"/>
                <w:kern w:val="0"/>
                <w:szCs w:val="21"/>
              </w:rPr>
              <w:t>一般公共预算财政拨款</w:t>
            </w:r>
          </w:p>
        </w:tc>
        <w:tc>
          <w:tcPr>
            <w:tcW w:w="1572" w:type="dxa"/>
            <w:vAlign w:val="center"/>
          </w:tcPr>
          <w:p w14:paraId="77583F21">
            <w:pPr>
              <w:widowControl/>
              <w:jc w:val="center"/>
              <w:rPr>
                <w:rFonts w:ascii="宋体" w:hAnsi="宋体" w:cs="宋体"/>
                <w:color w:val="000000"/>
                <w:kern w:val="0"/>
                <w:szCs w:val="21"/>
              </w:rPr>
            </w:pPr>
            <w:r>
              <w:rPr>
                <w:rFonts w:hint="eastAsia" w:ascii="宋体" w:hAnsi="宋体" w:cs="宋体"/>
                <w:color w:val="000000"/>
                <w:kern w:val="0"/>
                <w:szCs w:val="21"/>
              </w:rPr>
              <w:t>政府性基金预算财政拨款</w:t>
            </w:r>
          </w:p>
        </w:tc>
        <w:tc>
          <w:tcPr>
            <w:tcW w:w="1564" w:type="dxa"/>
            <w:vAlign w:val="center"/>
          </w:tcPr>
          <w:p w14:paraId="10898712">
            <w:pPr>
              <w:widowControl/>
              <w:jc w:val="center"/>
              <w:rPr>
                <w:rFonts w:ascii="宋体" w:hAnsi="宋体" w:cs="宋体"/>
                <w:color w:val="000000"/>
                <w:kern w:val="0"/>
                <w:szCs w:val="21"/>
              </w:rPr>
            </w:pPr>
            <w:r>
              <w:rPr>
                <w:rFonts w:hint="eastAsia" w:ascii="宋体" w:hAnsi="宋体" w:cs="宋体"/>
                <w:color w:val="000000"/>
                <w:kern w:val="0"/>
                <w:szCs w:val="21"/>
              </w:rPr>
              <w:t>国有资本经营预算财政拨款</w:t>
            </w:r>
          </w:p>
        </w:tc>
      </w:tr>
      <w:tr w14:paraId="085E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708" w:type="dxa"/>
            <w:vAlign w:val="center"/>
          </w:tcPr>
          <w:p w14:paraId="314DB9A4">
            <w:pPr>
              <w:widowControl/>
              <w:jc w:val="center"/>
              <w:rPr>
                <w:rFonts w:ascii="宋体" w:hAnsi="宋体" w:cs="宋体"/>
                <w:color w:val="000000"/>
                <w:kern w:val="0"/>
                <w:szCs w:val="21"/>
              </w:rPr>
            </w:pPr>
            <w:r>
              <w:rPr>
                <w:rFonts w:hint="eastAsia" w:ascii="宋体" w:hAnsi="宋体" w:cs="宋体"/>
                <w:color w:val="000000"/>
                <w:kern w:val="0"/>
                <w:szCs w:val="21"/>
              </w:rPr>
              <w:t>栏    次</w:t>
            </w:r>
          </w:p>
        </w:tc>
        <w:tc>
          <w:tcPr>
            <w:tcW w:w="678" w:type="dxa"/>
            <w:vAlign w:val="center"/>
          </w:tcPr>
          <w:p w14:paraId="64237A99">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38" w:type="dxa"/>
            <w:vAlign w:val="center"/>
          </w:tcPr>
          <w:p w14:paraId="4F91051D">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464" w:type="dxa"/>
            <w:vAlign w:val="center"/>
          </w:tcPr>
          <w:p w14:paraId="357C3AF0">
            <w:pPr>
              <w:widowControl/>
              <w:jc w:val="center"/>
              <w:rPr>
                <w:rFonts w:ascii="宋体" w:hAnsi="宋体" w:cs="宋体"/>
                <w:color w:val="000000"/>
                <w:kern w:val="0"/>
                <w:szCs w:val="21"/>
              </w:rPr>
            </w:pPr>
            <w:r>
              <w:rPr>
                <w:rFonts w:hint="eastAsia" w:ascii="宋体" w:hAnsi="宋体" w:cs="宋体"/>
                <w:color w:val="000000"/>
                <w:kern w:val="0"/>
                <w:szCs w:val="21"/>
              </w:rPr>
              <w:t>栏    次</w:t>
            </w:r>
          </w:p>
        </w:tc>
        <w:tc>
          <w:tcPr>
            <w:tcW w:w="688" w:type="dxa"/>
            <w:vAlign w:val="center"/>
          </w:tcPr>
          <w:p w14:paraId="08BA2A62">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75" w:type="dxa"/>
            <w:vAlign w:val="center"/>
          </w:tcPr>
          <w:p w14:paraId="5C877014">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576" w:type="dxa"/>
            <w:vAlign w:val="center"/>
          </w:tcPr>
          <w:p w14:paraId="70FFA9D8">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572" w:type="dxa"/>
            <w:vAlign w:val="center"/>
          </w:tcPr>
          <w:p w14:paraId="710CA1FC">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564" w:type="dxa"/>
            <w:vAlign w:val="center"/>
          </w:tcPr>
          <w:p w14:paraId="17D0E8F1">
            <w:pPr>
              <w:widowControl/>
              <w:jc w:val="center"/>
              <w:rPr>
                <w:rFonts w:ascii="宋体" w:hAnsi="宋体" w:cs="宋体"/>
                <w:color w:val="000000"/>
                <w:kern w:val="0"/>
                <w:szCs w:val="21"/>
              </w:rPr>
            </w:pPr>
            <w:r>
              <w:rPr>
                <w:rFonts w:hint="eastAsia" w:ascii="宋体" w:hAnsi="宋体" w:cs="宋体"/>
                <w:color w:val="000000"/>
                <w:kern w:val="0"/>
                <w:szCs w:val="21"/>
              </w:rPr>
              <w:t>5</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一、一般公共预算财政拨款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一、一般公共服务支出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33</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892.38</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892.38</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二、政府性基金预算财政拨款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二、外交支出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34</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三、国有资本经营预算财政拨款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三、国防支出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四、公共安全支出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五、教育支出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六、科学技术支出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七、文化旅游体育与传媒支出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39</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八、社会保障和就业支出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40</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94.43</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94.43</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九、卫生健康支出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41</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16.66</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16.66</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十、节能环保支出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42</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十一、城乡社区支出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43</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十二、农林水支出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44</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十三、交通运输支出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十四、资源勘探工业信息等支出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十五、商业服务业等支出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十六、金融支出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十七、援助其他地区支出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49</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十八、自然资源海洋气象等支出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50</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十九、住房保障支出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51</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29.45</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29.45</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二十、粮油物资储备支出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52</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二十一、国有资本经营预算支出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53</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二十二、灾害防治及应急管理支出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54</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二十三、其他支出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二十四、债务还本支出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二十五、债务付息支出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二十六、抗疫特别国债安排的支出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本年收入合计</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本年支出合计</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年初财政拨款结转和结余</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年末财政拨款结转和结余</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一、一般公共预算财政拨款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二、政府性基金预算财政拨款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三、国有资本经营预算财政拨款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89</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总计</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总计</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90</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1,032.92</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2C36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5C9AC2B3">
            <w:pPr>
              <w:widowControl/>
              <w:jc w:val="left"/>
              <w:rPr>
                <w:rFonts w:ascii="宋体" w:hAnsi="宋体" w:cs="宋体"/>
                <w:color w:val="000000"/>
                <w:kern w:val="0"/>
                <w:szCs w:val="21"/>
              </w:rPr>
            </w:pPr>
          </w:p>
        </w:tc>
        <w:tc>
          <w:tcPr>
            <w:tcW w:w="678" w:type="dxa"/>
            <w:vAlign w:val="center"/>
          </w:tcPr>
          <w:p w14:paraId="2537D52C">
            <w:pPr>
              <w:widowControl/>
              <w:jc w:val="center"/>
              <w:textAlignment w:val="center"/>
              <w:rPr>
                <w:rFonts w:hint="eastAsia" w:ascii="宋体" w:hAnsi="宋体" w:cs="宋体"/>
                <w:color w:val="000000"/>
                <w:kern w:val="0"/>
                <w:szCs w:val="21"/>
                <w:lang w:bidi="ar"/>
              </w:rPr>
            </w:pPr>
          </w:p>
        </w:tc>
        <w:tc>
          <w:tcPr>
            <w:tcW w:w="1338" w:type="dxa"/>
            <w:vAlign w:val="center"/>
          </w:tcPr>
          <w:p w14:paraId="6F044B1A">
            <w:pPr>
              <w:widowControl/>
              <w:jc w:val="right"/>
              <w:rPr>
                <w:rFonts w:ascii="宋体" w:hAnsi="宋体" w:cs="宋体"/>
                <w:color w:val="000000"/>
                <w:kern w:val="0"/>
                <w:szCs w:val="21"/>
              </w:rPr>
            </w:pPr>
          </w:p>
        </w:tc>
        <w:tc>
          <w:tcPr>
            <w:tcW w:w="2464" w:type="dxa"/>
          </w:tcPr>
          <w:p w14:paraId="6161BDB4">
            <w:pPr>
              <w:rPr>
                <w:rFonts w:hint="eastAsia" w:ascii="宋体" w:hAnsi="宋体" w:cs="宋体"/>
                <w:color w:val="000000"/>
                <w:szCs w:val="21"/>
              </w:rPr>
            </w:pPr>
          </w:p>
        </w:tc>
        <w:tc>
          <w:tcPr>
            <w:tcW w:w="688" w:type="dxa"/>
            <w:vAlign w:val="center"/>
          </w:tcPr>
          <w:p w14:paraId="5F3671B8">
            <w:pPr>
              <w:widowControl/>
              <w:jc w:val="center"/>
              <w:textAlignment w:val="center"/>
              <w:rPr>
                <w:rFonts w:ascii="宋体" w:hAnsi="宋体" w:cs="宋体"/>
                <w:color w:val="000000"/>
                <w:kern w:val="0"/>
                <w:szCs w:val="21"/>
                <w:lang w:bidi="ar"/>
              </w:rPr>
            </w:pPr>
          </w:p>
        </w:tc>
        <w:tc>
          <w:tcPr>
            <w:tcW w:w="1575" w:type="dxa"/>
            <w:vAlign w:val="center"/>
          </w:tcPr>
          <w:p w14:paraId="3C3C5C29">
            <w:pPr>
              <w:widowControl/>
              <w:jc w:val="right"/>
              <w:rPr>
                <w:rFonts w:hint="eastAsia" w:ascii="宋体" w:hAnsi="宋体" w:cs="宋体"/>
                <w:color w:val="000000"/>
                <w:kern w:val="0"/>
                <w:szCs w:val="21"/>
              </w:rPr>
            </w:pPr>
          </w:p>
        </w:tc>
        <w:tc>
          <w:tcPr>
            <w:tcW w:w="1576" w:type="dxa"/>
            <w:vAlign w:val="center"/>
          </w:tcPr>
          <w:p w14:paraId="583FD71E">
            <w:pPr>
              <w:widowControl/>
              <w:jc w:val="right"/>
              <w:rPr>
                <w:rFonts w:hint="eastAsia" w:ascii="宋体" w:hAnsi="宋体" w:cs="宋体"/>
                <w:color w:val="000000"/>
                <w:kern w:val="0"/>
                <w:szCs w:val="21"/>
              </w:rPr>
            </w:pPr>
          </w:p>
        </w:tc>
        <w:tc>
          <w:tcPr>
            <w:tcW w:w="1572" w:type="dxa"/>
            <w:vAlign w:val="center"/>
          </w:tcPr>
          <w:p w14:paraId="30C2AF31">
            <w:pPr>
              <w:widowControl/>
              <w:jc w:val="right"/>
              <w:rPr>
                <w:rFonts w:hint="eastAsia" w:ascii="宋体" w:hAnsi="宋体" w:cs="宋体"/>
                <w:color w:val="000000"/>
                <w:kern w:val="0"/>
                <w:szCs w:val="21"/>
              </w:rPr>
            </w:pPr>
          </w:p>
        </w:tc>
        <w:tc>
          <w:tcPr>
            <w:tcW w:w="1564" w:type="dxa"/>
            <w:vAlign w:val="center"/>
          </w:tcPr>
          <w:p w14:paraId="4A760E95">
            <w:pPr>
              <w:widowControl/>
              <w:jc w:val="right"/>
              <w:rPr>
                <w:rFonts w:hint="eastAsia" w:ascii="宋体" w:hAnsi="宋体" w:cs="宋体"/>
                <w:color w:val="000000"/>
                <w:kern w:val="0"/>
                <w:szCs w:val="21"/>
              </w:rPr>
            </w:pPr>
          </w:p>
        </w:tc>
      </w:tr>
    </w:tbl>
    <w:p w14:paraId="3E3B7C11">
      <w:pPr>
        <w:spacing w:line="560" w:lineRule="exact"/>
        <w:rPr>
          <w:rFonts w:hint="eastAsia"/>
          <w:color w:val="000000"/>
        </w:rPr>
      </w:pPr>
    </w:p>
    <w:p w14:paraId="045FA73E">
      <w:pPr>
        <w:spacing w:line="560" w:lineRule="exact"/>
        <w:rPr>
          <w:rFonts w:hint="eastAsia" w:ascii="仿宋_GB2312" w:eastAsia="仿宋_GB2312"/>
          <w:b/>
          <w:sz w:val="32"/>
          <w:szCs w:val="32"/>
        </w:rPr>
      </w:pPr>
      <w:r>
        <w:rPr>
          <w:rFonts w:hint="eastAsia"/>
          <w:color w:val="000000"/>
        </w:rPr>
        <w:t>注：</w:t>
      </w:r>
      <w:bookmarkStart w:id="6" w:name="PO_part2Table1Remark4"/>
      <w:r>
        <w:rPr>
          <w:rFonts w:hint="eastAsia"/>
          <w:color w:val="000000"/>
        </w:rPr>
        <w:t xml:space="preserve"> 本表反映部门</w:t>
      </w:r>
      <w:r>
        <w:rPr>
          <w:rFonts w:hint="eastAsia"/>
          <w:color w:val="000000"/>
          <w:lang w:val="en-US" w:eastAsia="zh-CN"/>
        </w:rPr>
        <w:t>2024</w:t>
      </w:r>
      <w:r>
        <w:rPr>
          <w:rFonts w:hint="eastAsia"/>
          <w:color w:val="000000"/>
        </w:rPr>
        <w:t>年度</w:t>
      </w:r>
      <w:r>
        <w:rPr>
          <w:rFonts w:hint="eastAsia" w:ascii="宋体" w:hAnsi="宋体" w:cs="Arial"/>
          <w:color w:val="000000"/>
          <w:kern w:val="0"/>
          <w:sz w:val="22"/>
          <w:szCs w:val="22"/>
        </w:rPr>
        <w:t xml:space="preserve">一般公共预算财政拨款、政府性基金预算财政拨款和国有资本经营预算财政拨款的总收支和年末结转结余情况。 </w:t>
      </w:r>
      <w:bookmarkEnd w:id="6"/>
      <w:r>
        <w:rPr>
          <w:rFonts w:hint="eastAsia" w:ascii="宋体" w:hAnsi="宋体" w:cs="Arial"/>
          <w:color w:val="000000"/>
          <w:kern w:val="0"/>
          <w:sz w:val="22"/>
          <w:szCs w:val="22"/>
        </w:rPr>
        <w:t xml:space="preserve"> </w:t>
      </w:r>
    </w:p>
    <w:p w14:paraId="1F59C6AB">
      <w:pPr>
        <w:spacing w:line="560" w:lineRule="exact"/>
        <w:rPr>
          <w:rFonts w:hint="eastAsia" w:ascii="仿宋_GB2312" w:eastAsia="仿宋_GB2312"/>
          <w:b/>
          <w:sz w:val="32"/>
          <w:szCs w:val="32"/>
        </w:rPr>
      </w:pPr>
    </w:p>
    <w:p w14:paraId="41E66A27">
      <w:pPr>
        <w:spacing w:line="560" w:lineRule="exact"/>
        <w:rPr>
          <w:rFonts w:hint="eastAsia" w:ascii="仿宋_GB2312" w:eastAsia="仿宋_GB2312"/>
          <w:b/>
          <w:sz w:val="32"/>
          <w:szCs w:val="32"/>
        </w:rPr>
      </w:pPr>
    </w:p>
    <w:p w14:paraId="70BDAFEB">
      <w:pPr>
        <w:spacing w:line="560" w:lineRule="exact"/>
        <w:rPr>
          <w:rFonts w:hint="eastAsia" w:ascii="仿宋_GB2312" w:eastAsia="仿宋_GB2312"/>
          <w:b/>
          <w:sz w:val="32"/>
          <w:szCs w:val="32"/>
        </w:rPr>
      </w:pPr>
    </w:p>
    <w:p w14:paraId="06FB1BE1">
      <w:pPr>
        <w:spacing w:line="560" w:lineRule="exact"/>
        <w:rPr>
          <w:rFonts w:hint="eastAsia" w:ascii="仿宋_GB2312" w:eastAsia="仿宋_GB2312"/>
          <w:b/>
          <w:sz w:val="32"/>
          <w:szCs w:val="32"/>
        </w:rPr>
      </w:pPr>
    </w:p>
    <w:p w14:paraId="7C633073">
      <w:pPr>
        <w:spacing w:line="560" w:lineRule="exact"/>
        <w:rPr>
          <w:rFonts w:hint="eastAsia" w:ascii="仿宋_GB2312" w:eastAsia="仿宋_GB2312"/>
          <w:b/>
          <w:sz w:val="32"/>
          <w:szCs w:val="32"/>
        </w:rPr>
      </w:pPr>
    </w:p>
    <w:tbl>
      <w:tblPr>
        <w:tblStyle w:val="6"/>
        <w:tblW w:w="14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3686"/>
        <w:gridCol w:w="2986"/>
        <w:gridCol w:w="3337"/>
        <w:gridCol w:w="2870"/>
      </w:tblGrid>
      <w:tr w14:paraId="165C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3" w:type="dxa"/>
            <w:gridSpan w:val="5"/>
            <w:tcBorders>
              <w:top w:val="nil"/>
              <w:left w:val="nil"/>
              <w:bottom w:val="nil"/>
              <w:right w:val="nil"/>
            </w:tcBorders>
            <w:shd w:val="clear" w:color="auto" w:fill="FFFFFF"/>
            <w:vAlign w:val="center"/>
          </w:tcPr>
          <w:p w14:paraId="45E243E7">
            <w:pPr>
              <w:jc w:val="right"/>
              <w:rPr>
                <w:rFonts w:ascii="宋体" w:hAnsi="宋体" w:cs="宋体"/>
                <w:color w:val="000000"/>
                <w:kern w:val="0"/>
                <w:sz w:val="20"/>
                <w:szCs w:val="20"/>
              </w:rPr>
            </w:pPr>
            <w:r>
              <w:rPr>
                <w:rFonts w:hint="eastAsia" w:ascii="宋体" w:hAnsi="宋体" w:cs="宋体"/>
                <w:color w:val="000000"/>
                <w:kern w:val="0"/>
                <w:sz w:val="20"/>
                <w:szCs w:val="20"/>
              </w:rPr>
              <w:t>表5</w:t>
            </w:r>
          </w:p>
        </w:tc>
      </w:tr>
      <w:tr w14:paraId="797C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3" w:type="dxa"/>
            <w:gridSpan w:val="5"/>
            <w:tcBorders>
              <w:top w:val="nil"/>
              <w:left w:val="nil"/>
              <w:bottom w:val="nil"/>
              <w:right w:val="nil"/>
            </w:tcBorders>
            <w:shd w:val="clear" w:color="auto" w:fill="FFFFFF"/>
          </w:tcPr>
          <w:p w14:paraId="0EFEE19B">
            <w:pPr>
              <w:jc w:val="center"/>
              <w:rPr>
                <w:rFonts w:ascii="宋体" w:hAnsi="宋体" w:cs="宋体"/>
                <w:b/>
                <w:color w:val="000000"/>
                <w:kern w:val="0"/>
                <w:sz w:val="32"/>
                <w:szCs w:val="32"/>
              </w:rPr>
            </w:pPr>
            <w:r>
              <w:rPr>
                <w:rFonts w:hint="eastAsia" w:ascii="宋体" w:hAnsi="宋体" w:cs="宋体"/>
                <w:b/>
                <w:color w:val="000000"/>
                <w:kern w:val="0"/>
                <w:sz w:val="32"/>
                <w:szCs w:val="32"/>
              </w:rPr>
              <w:t>一般公共预算财政拨款支出决算表</w:t>
            </w:r>
          </w:p>
        </w:tc>
      </w:tr>
      <w:tr w14:paraId="4C19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1303" w:type="dxa"/>
            <w:gridSpan w:val="4"/>
            <w:tcBorders>
              <w:top w:val="nil"/>
              <w:left w:val="nil"/>
              <w:bottom w:val="single" w:color="auto" w:sz="4" w:space="0"/>
              <w:right w:val="nil"/>
            </w:tcBorders>
            <w:shd w:val="clear" w:color="auto" w:fill="FFFFFF"/>
            <w:vAlign w:val="center"/>
          </w:tcPr>
          <w:p w14:paraId="73CDD4FF">
            <w:pPr>
              <w:spacing w:line="288" w:lineRule="auto"/>
              <w:jc w:val="left"/>
              <w:rPr>
                <w:rFonts w:ascii="宋体" w:hAnsi="宋体" w:cs="宋体"/>
                <w:color w:val="000000"/>
                <w:sz w:val="28"/>
                <w:szCs w:val="28"/>
              </w:rPr>
            </w:pPr>
            <w:r>
              <w:rPr>
                <w:rFonts w:hint="eastAsia" w:ascii="宋体" w:hAnsi="宋体" w:cs="宋体"/>
                <w:color w:val="000000"/>
                <w:kern w:val="0"/>
                <w:sz w:val="20"/>
                <w:szCs w:val="20"/>
              </w:rPr>
              <w:t>部门：</w:t>
            </w:r>
            <w:bookmarkStart w:id="7" w:name="PO_part2Table1DivName5"/>
            <w:r>
              <w:rPr>
                <w:rFonts w:hint="eastAsia" w:ascii="宋体" w:hAnsi="宋体" w:cs="宋体"/>
                <w:color w:val="000000"/>
                <w:kern w:val="0"/>
                <w:sz w:val="20"/>
                <w:szCs w:val="20"/>
              </w:rPr>
              <w:t xml:space="preserve"> </w:t>
            </w:r>
            <w:bookmarkEnd w:id="7"/>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p>
        </w:tc>
        <w:tc>
          <w:tcPr>
            <w:tcW w:w="2870" w:type="dxa"/>
            <w:tcBorders>
              <w:top w:val="nil"/>
              <w:left w:val="nil"/>
              <w:bottom w:val="single" w:color="auto" w:sz="4" w:space="0"/>
              <w:right w:val="nil"/>
            </w:tcBorders>
            <w:shd w:val="clear" w:color="auto" w:fill="FFFFFF"/>
            <w:vAlign w:val="center"/>
          </w:tcPr>
          <w:p w14:paraId="79BA7639">
            <w:pPr>
              <w:jc w:val="right"/>
              <w:rPr>
                <w:rFonts w:ascii="宋体" w:hAnsi="宋体" w:cs="宋体"/>
                <w:color w:val="000000"/>
                <w:kern w:val="0"/>
                <w:sz w:val="20"/>
                <w:szCs w:val="2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0630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4980" w:type="dxa"/>
            <w:gridSpan w:val="2"/>
            <w:tcBorders>
              <w:top w:val="single" w:color="auto" w:sz="4" w:space="0"/>
            </w:tcBorders>
            <w:vAlign w:val="center"/>
          </w:tcPr>
          <w:p w14:paraId="1804DDC6">
            <w:pPr>
              <w:jc w:val="center"/>
              <w:rPr>
                <w:rFonts w:ascii="宋体" w:hAnsi="宋体" w:cs="宋体"/>
                <w:color w:val="000000"/>
                <w:szCs w:val="21"/>
              </w:rPr>
            </w:pPr>
            <w:r>
              <w:rPr>
                <w:rFonts w:hint="eastAsia" w:ascii="宋体" w:hAnsi="宋体" w:cs="宋体"/>
                <w:color w:val="000000"/>
                <w:kern w:val="0"/>
                <w:szCs w:val="21"/>
              </w:rPr>
              <w:t>项    目</w:t>
            </w:r>
          </w:p>
        </w:tc>
        <w:tc>
          <w:tcPr>
            <w:tcW w:w="2986" w:type="dxa"/>
            <w:vMerge w:val="restart"/>
            <w:tcBorders>
              <w:top w:val="single" w:color="auto" w:sz="4" w:space="0"/>
            </w:tcBorders>
            <w:vAlign w:val="center"/>
          </w:tcPr>
          <w:p w14:paraId="6C068C21">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3337" w:type="dxa"/>
            <w:vMerge w:val="restart"/>
            <w:tcBorders>
              <w:top w:val="single" w:color="auto" w:sz="4" w:space="0"/>
            </w:tcBorders>
            <w:vAlign w:val="center"/>
          </w:tcPr>
          <w:p w14:paraId="2D4A7CDB">
            <w:pPr>
              <w:widowControl/>
              <w:jc w:val="center"/>
              <w:rPr>
                <w:rFonts w:ascii="宋体" w:hAnsi="宋体" w:cs="宋体"/>
                <w:color w:val="000000"/>
                <w:kern w:val="0"/>
                <w:szCs w:val="21"/>
              </w:rPr>
            </w:pPr>
            <w:r>
              <w:rPr>
                <w:rFonts w:hint="eastAsia" w:ascii="宋体" w:hAnsi="宋体" w:cs="宋体"/>
                <w:color w:val="000000"/>
                <w:kern w:val="0"/>
                <w:szCs w:val="21"/>
              </w:rPr>
              <w:t>基本支出</w:t>
            </w:r>
          </w:p>
        </w:tc>
        <w:tc>
          <w:tcPr>
            <w:tcW w:w="2870" w:type="dxa"/>
            <w:vMerge w:val="restart"/>
            <w:tcBorders>
              <w:top w:val="single" w:color="auto" w:sz="4" w:space="0"/>
            </w:tcBorders>
            <w:vAlign w:val="center"/>
          </w:tcPr>
          <w:p w14:paraId="7DCDD5F7">
            <w:pPr>
              <w:widowControl/>
              <w:jc w:val="center"/>
              <w:rPr>
                <w:rFonts w:ascii="宋体" w:hAnsi="宋体" w:cs="宋体"/>
                <w:color w:val="000000"/>
                <w:kern w:val="0"/>
                <w:szCs w:val="21"/>
              </w:rPr>
            </w:pPr>
            <w:r>
              <w:rPr>
                <w:rFonts w:hint="eastAsia" w:ascii="宋体" w:hAnsi="宋体" w:cs="宋体"/>
                <w:color w:val="000000"/>
                <w:kern w:val="0"/>
                <w:szCs w:val="21"/>
              </w:rPr>
              <w:t>项目支出</w:t>
            </w:r>
          </w:p>
        </w:tc>
      </w:tr>
      <w:tr w14:paraId="469E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94" w:type="dxa"/>
            <w:vAlign w:val="center"/>
          </w:tcPr>
          <w:p w14:paraId="7CBF5D4D">
            <w:pPr>
              <w:jc w:val="center"/>
              <w:rPr>
                <w:rFonts w:ascii="宋体" w:hAnsi="宋体" w:cs="宋体"/>
                <w:color w:val="000000"/>
                <w:szCs w:val="21"/>
              </w:rPr>
            </w:pPr>
            <w:r>
              <w:rPr>
                <w:rFonts w:hint="eastAsia" w:ascii="宋体" w:hAnsi="宋体" w:cs="宋体"/>
                <w:color w:val="000000"/>
                <w:kern w:val="0"/>
                <w:szCs w:val="21"/>
              </w:rPr>
              <w:t>科目编码</w:t>
            </w:r>
          </w:p>
        </w:tc>
        <w:tc>
          <w:tcPr>
            <w:tcW w:w="3686" w:type="dxa"/>
            <w:vAlign w:val="center"/>
          </w:tcPr>
          <w:p w14:paraId="0D917D96">
            <w:pPr>
              <w:jc w:val="center"/>
              <w:rPr>
                <w:rFonts w:ascii="宋体" w:hAnsi="宋体" w:cs="宋体"/>
                <w:color w:val="000000"/>
                <w:szCs w:val="21"/>
              </w:rPr>
            </w:pPr>
            <w:r>
              <w:rPr>
                <w:rFonts w:hint="eastAsia" w:ascii="宋体" w:hAnsi="宋体" w:cs="宋体"/>
                <w:color w:val="000000"/>
                <w:kern w:val="0"/>
                <w:szCs w:val="21"/>
              </w:rPr>
              <w:t>科目名称</w:t>
            </w:r>
          </w:p>
        </w:tc>
        <w:tc>
          <w:tcPr>
            <w:tcW w:w="2986" w:type="dxa"/>
            <w:vMerge w:val="continue"/>
          </w:tcPr>
          <w:p w14:paraId="6DF0B992">
            <w:pPr>
              <w:spacing w:line="288" w:lineRule="auto"/>
              <w:rPr>
                <w:rFonts w:ascii="宋体" w:hAnsi="宋体" w:cs="宋体"/>
                <w:color w:val="000000"/>
                <w:szCs w:val="21"/>
              </w:rPr>
            </w:pPr>
          </w:p>
        </w:tc>
        <w:tc>
          <w:tcPr>
            <w:tcW w:w="3337" w:type="dxa"/>
            <w:vMerge w:val="continue"/>
          </w:tcPr>
          <w:p w14:paraId="09603A22">
            <w:pPr>
              <w:spacing w:line="288" w:lineRule="auto"/>
              <w:rPr>
                <w:rFonts w:ascii="宋体" w:hAnsi="宋体" w:cs="宋体"/>
                <w:color w:val="000000"/>
                <w:szCs w:val="21"/>
              </w:rPr>
            </w:pPr>
          </w:p>
        </w:tc>
        <w:tc>
          <w:tcPr>
            <w:tcW w:w="2870" w:type="dxa"/>
            <w:vMerge w:val="continue"/>
          </w:tcPr>
          <w:p w14:paraId="0CE91FEF">
            <w:pPr>
              <w:spacing w:line="288" w:lineRule="auto"/>
              <w:rPr>
                <w:rFonts w:ascii="宋体" w:hAnsi="宋体" w:cs="宋体"/>
                <w:color w:val="000000"/>
                <w:szCs w:val="21"/>
              </w:rPr>
            </w:pPr>
          </w:p>
        </w:tc>
      </w:tr>
      <w:tr w14:paraId="1739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4980" w:type="dxa"/>
            <w:gridSpan w:val="2"/>
            <w:vAlign w:val="center"/>
          </w:tcPr>
          <w:p w14:paraId="18D34F98">
            <w:pPr>
              <w:jc w:val="center"/>
              <w:rPr>
                <w:rFonts w:ascii="宋体" w:hAnsi="宋体" w:cs="宋体"/>
                <w:color w:val="000000"/>
                <w:szCs w:val="21"/>
              </w:rPr>
            </w:pPr>
            <w:r>
              <w:rPr>
                <w:rFonts w:hint="eastAsia" w:ascii="宋体" w:hAnsi="宋体" w:cs="宋体"/>
                <w:color w:val="000000"/>
                <w:kern w:val="0"/>
                <w:szCs w:val="21"/>
              </w:rPr>
              <w:t>栏次</w:t>
            </w:r>
          </w:p>
        </w:tc>
        <w:tc>
          <w:tcPr>
            <w:tcW w:w="2986" w:type="dxa"/>
            <w:vAlign w:val="center"/>
          </w:tcPr>
          <w:p w14:paraId="711CB30F">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337" w:type="dxa"/>
            <w:vAlign w:val="center"/>
          </w:tcPr>
          <w:p w14:paraId="4D835A6B">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870" w:type="dxa"/>
            <w:vAlign w:val="center"/>
          </w:tcPr>
          <w:p w14:paraId="760B15B9">
            <w:pPr>
              <w:widowControl/>
              <w:jc w:val="center"/>
              <w:rPr>
                <w:rFonts w:ascii="宋体" w:hAnsi="宋体" w:cs="宋体"/>
                <w:color w:val="000000"/>
                <w:kern w:val="0"/>
                <w:szCs w:val="21"/>
              </w:rPr>
            </w:pPr>
            <w:r>
              <w:rPr>
                <w:rFonts w:hint="eastAsia" w:ascii="宋体" w:hAnsi="宋体" w:cs="宋体"/>
                <w:color w:val="000000"/>
                <w:kern w:val="0"/>
                <w:szCs w:val="21"/>
              </w:rPr>
              <w:t>3</w:t>
            </w:r>
          </w:p>
        </w:tc>
      </w:tr>
      <w:tr w14:paraId="4B65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94" w:type="dxa"/>
          </w:tcPr>
          <w:p w14:paraId="1C913510">
            <w:pPr>
              <w:jc w:val="center"/>
              <w:rPr>
                <w:rFonts w:ascii="宋体" w:hAnsi="宋体" w:cs="宋体"/>
                <w:color w:val="000000"/>
                <w:szCs w:val="21"/>
              </w:rPr>
            </w:pPr>
          </w:p>
        </w:tc>
        <w:tc>
          <w:tcPr>
            <w:tcW w:w="3686" w:type="dxa"/>
            <w:vAlign w:val="center"/>
          </w:tcPr>
          <w:p w14:paraId="29D58A0C">
            <w:pPr>
              <w:jc w:val="center"/>
              <w:rPr>
                <w:rFonts w:ascii="宋体" w:hAnsi="宋体" w:cs="宋体"/>
                <w:color w:val="000000"/>
                <w:szCs w:val="21"/>
              </w:rPr>
            </w:pPr>
            <w:r>
              <w:rPr>
                <w:rFonts w:hint="eastAsia" w:ascii="宋体" w:hAnsi="宋体" w:cs="宋体"/>
                <w:color w:val="000000"/>
                <w:szCs w:val="21"/>
              </w:rPr>
              <w:t>合计</w:t>
            </w:r>
          </w:p>
        </w:tc>
        <w:tc>
          <w:tcPr>
            <w:tcW w:w="2986" w:type="dxa"/>
            <w:vAlign w:val="center"/>
          </w:tcPr>
          <w:p w14:paraId="28FCF15A">
            <w:pPr>
              <w:widowControl/>
              <w:jc w:val="right"/>
              <w:rPr>
                <w:rFonts w:hint="default" w:ascii="宋体" w:hAnsi="宋体" w:cs="宋体"/>
                <w:color w:val="000000"/>
                <w:kern w:val="0"/>
                <w:szCs w:val="21"/>
                <w:lang w:val="en-US"/>
              </w:rPr>
            </w:pPr>
            <w:r>
              <w:rPr>
                <w:rFonts w:hint="default" w:ascii="宋体" w:hAnsi="宋体" w:cs="宋体"/>
                <w:color w:val="000000"/>
                <w:kern w:val="0"/>
                <w:szCs w:val="21"/>
                <w:lang w:val="en-US"/>
              </w:rPr>
              <w:t>1,032.92</w:t>
            </w:r>
          </w:p>
        </w:tc>
        <w:tc>
          <w:tcPr>
            <w:tcW w:w="3337" w:type="dxa"/>
            <w:vAlign w:val="center"/>
          </w:tcPr>
          <w:p w14:paraId="5BFE7F93">
            <w:pPr>
              <w:widowControl/>
              <w:jc w:val="right"/>
              <w:rPr>
                <w:rFonts w:hint="default" w:ascii="宋体" w:hAnsi="宋体" w:eastAsia="宋体" w:cs="宋体"/>
                <w:color w:val="000000"/>
                <w:kern w:val="0"/>
                <w:sz w:val="21"/>
                <w:szCs w:val="21"/>
                <w:lang w:val="en-US" w:eastAsia="zh-CN" w:bidi="ar-SA"/>
              </w:rPr>
            </w:pPr>
            <w:r>
              <w:rPr>
                <w:rFonts w:hint="default" w:ascii="宋体" w:hAnsi="宋体" w:cs="宋体"/>
                <w:color w:val="000000"/>
                <w:kern w:val="0"/>
                <w:szCs w:val="21"/>
                <w:lang w:val="en-US"/>
              </w:rPr>
              <w:t>460.39</w:t>
            </w:r>
          </w:p>
        </w:tc>
        <w:tc>
          <w:tcPr>
            <w:tcW w:w="2870" w:type="dxa"/>
            <w:vAlign w:val="center"/>
          </w:tcPr>
          <w:p w14:paraId="087F9A10">
            <w:pPr>
              <w:widowControl/>
              <w:jc w:val="right"/>
              <w:rPr>
                <w:rFonts w:hint="default"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572.52</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2010301</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行政运行</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208.16</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208.16</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2010350</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事业运行</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114.07</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114.07</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2013699</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其他共产党事务支出</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0.70</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0.70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2014002</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一般行政管理事务</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9.51</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9.51</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2014004</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信访业务</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419.23</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419.23</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2014099</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其他信访事务支出</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140.70</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140.70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2080501</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行政单位离退休</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5.93</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5.93</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2080505</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机关事业单位基本养老保险缴费支出</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48.88</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48.88</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2080506</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机关事业单位职业年金缴费支出</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37.24</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37.24</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2089999</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其他社会保障和就业支出</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2.38</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2.38</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2101101</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行政单位医疗</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7.62</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7.62</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2101102</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事业单位医疗</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4.97</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4.97</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2101103</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公务员医疗补助</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4.07</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4.07</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2210201</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住房公积金</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29.45</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29.45</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DB2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3D146C3A">
            <w:pPr>
              <w:widowControl/>
              <w:rPr>
                <w:rFonts w:hint="eastAsia" w:ascii="宋体" w:hAnsi="宋体" w:cs="宋体"/>
                <w:color w:val="000000"/>
                <w:kern w:val="0"/>
                <w:szCs w:val="21"/>
              </w:rPr>
            </w:pPr>
            <w:bookmarkStart w:id="8" w:name="PO_part2Table6"/>
          </w:p>
        </w:tc>
        <w:tc>
          <w:tcPr>
            <w:tcW w:w="3686" w:type="dxa"/>
            <w:vAlign w:val="center"/>
          </w:tcPr>
          <w:p w14:paraId="362D76FD">
            <w:pPr>
              <w:widowControl/>
              <w:jc w:val="left"/>
              <w:rPr>
                <w:rFonts w:hint="eastAsia" w:ascii="宋体" w:hAnsi="宋体" w:cs="宋体"/>
                <w:color w:val="000000"/>
                <w:kern w:val="0"/>
                <w:szCs w:val="21"/>
              </w:rPr>
            </w:pPr>
          </w:p>
        </w:tc>
        <w:tc>
          <w:tcPr>
            <w:tcW w:w="2986" w:type="dxa"/>
            <w:vAlign w:val="center"/>
          </w:tcPr>
          <w:p w14:paraId="47142E23">
            <w:pPr>
              <w:widowControl/>
              <w:jc w:val="right"/>
              <w:rPr>
                <w:rFonts w:ascii="宋体" w:hAnsi="宋体" w:cs="宋体"/>
                <w:color w:val="000000"/>
                <w:kern w:val="0"/>
                <w:szCs w:val="21"/>
              </w:rPr>
            </w:pPr>
          </w:p>
        </w:tc>
        <w:tc>
          <w:tcPr>
            <w:tcW w:w="3337" w:type="dxa"/>
            <w:vAlign w:val="center"/>
          </w:tcPr>
          <w:p w14:paraId="3876D6E0">
            <w:pPr>
              <w:widowControl/>
              <w:jc w:val="right"/>
              <w:rPr>
                <w:rFonts w:ascii="宋体" w:hAnsi="宋体" w:cs="宋体"/>
                <w:color w:val="000000"/>
                <w:kern w:val="0"/>
                <w:szCs w:val="21"/>
              </w:rPr>
            </w:pPr>
          </w:p>
        </w:tc>
        <w:tc>
          <w:tcPr>
            <w:tcW w:w="2870" w:type="dxa"/>
            <w:vAlign w:val="center"/>
          </w:tcPr>
          <w:p w14:paraId="5988B381">
            <w:pPr>
              <w:widowControl/>
              <w:jc w:val="right"/>
              <w:rPr>
                <w:rFonts w:ascii="宋体" w:hAnsi="宋体" w:cs="宋体"/>
                <w:color w:val="000000"/>
                <w:kern w:val="0"/>
                <w:szCs w:val="21"/>
              </w:rPr>
            </w:pPr>
          </w:p>
        </w:tc>
      </w:tr>
    </w:tbl>
    <w:p w14:paraId="155B8F35">
      <w:pPr>
        <w:jc w:val="left"/>
        <w:rPr>
          <w:rFonts w:hint="eastAsia"/>
          <w:color w:val="000000"/>
        </w:rPr>
      </w:pPr>
    </w:p>
    <w:p w14:paraId="0DF3EBFA">
      <w:pPr>
        <w:jc w:val="left"/>
        <w:rPr>
          <w:rFonts w:hint="eastAsia"/>
          <w:color w:val="000000"/>
        </w:rPr>
      </w:pPr>
      <w:r>
        <w:rPr>
          <w:rFonts w:hint="eastAsia"/>
          <w:color w:val="000000"/>
        </w:rPr>
        <w:t>注：</w:t>
      </w:r>
      <w:bookmarkStart w:id="9" w:name="PO_part2Table1Remark5"/>
      <w:r>
        <w:rPr>
          <w:rFonts w:hint="eastAsia"/>
          <w:color w:val="000000"/>
        </w:rPr>
        <w:t xml:space="preserve"> 本表反映部门</w:t>
      </w:r>
      <w:r>
        <w:rPr>
          <w:rFonts w:hint="eastAsia"/>
          <w:color w:val="000000"/>
          <w:lang w:val="en-US" w:eastAsia="zh-CN"/>
        </w:rPr>
        <w:t>2024</w:t>
      </w:r>
      <w:r>
        <w:rPr>
          <w:rFonts w:hint="eastAsia"/>
          <w:color w:val="000000"/>
        </w:rPr>
        <w:t xml:space="preserve">年度一般公共预算财政拨款支出情况。 </w:t>
      </w:r>
      <w:bookmarkEnd w:id="9"/>
    </w:p>
    <w:p w14:paraId="7F590399">
      <w:pPr>
        <w:jc w:val="left"/>
        <w:rPr>
          <w:rFonts w:hint="eastAsia"/>
          <w:color w:val="000000"/>
        </w:rPr>
      </w:pPr>
    </w:p>
    <w:p w14:paraId="24FC6854">
      <w:pPr>
        <w:jc w:val="left"/>
        <w:rPr>
          <w:rFonts w:hint="eastAsia"/>
          <w:color w:val="000000"/>
        </w:rPr>
      </w:pPr>
    </w:p>
    <w:p w14:paraId="5731E5BA">
      <w:pPr>
        <w:keepNext w:val="0"/>
        <w:keepLines w:val="0"/>
        <w:pageBreakBefore/>
        <w:widowControl/>
        <w:kinsoku/>
        <w:wordWrap/>
        <w:overflowPunct/>
        <w:topLinePunct w:val="0"/>
        <w:autoSpaceDE/>
        <w:autoSpaceDN/>
        <w:bidi w:val="0"/>
        <w:adjustRightInd/>
        <w:snapToGrid/>
        <w:jc w:val="left"/>
        <w:textAlignment w:val="auto"/>
        <w:rPr>
          <w:rFonts w:hint="eastAsia"/>
          <w:color w:val="000000"/>
        </w:rPr>
      </w:pP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3675"/>
        <w:gridCol w:w="2045"/>
        <w:gridCol w:w="1417"/>
        <w:gridCol w:w="3468"/>
        <w:gridCol w:w="2199"/>
      </w:tblGrid>
      <w:tr w14:paraId="0497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14174" w:type="dxa"/>
            <w:gridSpan w:val="6"/>
            <w:tcBorders>
              <w:top w:val="nil"/>
              <w:left w:val="nil"/>
              <w:bottom w:val="nil"/>
              <w:right w:val="nil"/>
            </w:tcBorders>
            <w:vAlign w:val="center"/>
          </w:tcPr>
          <w:p w14:paraId="7840C009">
            <w:pPr>
              <w:jc w:val="right"/>
              <w:rPr>
                <w:rFonts w:ascii="宋体" w:hAnsi="宋体" w:cs="宋体"/>
                <w:color w:val="000000"/>
              </w:rPr>
            </w:pPr>
            <w:r>
              <w:rPr>
                <w:rFonts w:hint="eastAsia" w:ascii="宋体" w:hAnsi="宋体" w:cs="宋体"/>
                <w:color w:val="000000"/>
                <w:kern w:val="0"/>
                <w:sz w:val="20"/>
                <w:szCs w:val="20"/>
              </w:rPr>
              <w:t>表6</w:t>
            </w:r>
          </w:p>
        </w:tc>
      </w:tr>
      <w:tr w14:paraId="20AA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14174" w:type="dxa"/>
            <w:gridSpan w:val="6"/>
            <w:tcBorders>
              <w:top w:val="nil"/>
              <w:left w:val="nil"/>
              <w:bottom w:val="nil"/>
              <w:right w:val="nil"/>
            </w:tcBorders>
          </w:tcPr>
          <w:p w14:paraId="235391DE">
            <w:pPr>
              <w:jc w:val="center"/>
              <w:rPr>
                <w:rFonts w:ascii="宋体" w:hAnsi="宋体" w:cs="宋体"/>
                <w:b/>
                <w:color w:val="000000"/>
                <w:szCs w:val="21"/>
              </w:rPr>
            </w:pPr>
            <w:r>
              <w:rPr>
                <w:rFonts w:hint="eastAsia" w:ascii="宋体" w:hAnsi="宋体" w:cs="宋体"/>
                <w:b/>
                <w:color w:val="000000"/>
                <w:kern w:val="0"/>
                <w:sz w:val="32"/>
                <w:szCs w:val="32"/>
              </w:rPr>
              <w:t>一般公共预算财政拨款基本支出决算明细表</w:t>
            </w:r>
          </w:p>
        </w:tc>
      </w:tr>
      <w:tr w14:paraId="6BF0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11975" w:type="dxa"/>
            <w:gridSpan w:val="5"/>
            <w:tcBorders>
              <w:top w:val="nil"/>
              <w:left w:val="nil"/>
              <w:bottom w:val="single" w:color="auto" w:sz="4" w:space="0"/>
              <w:right w:val="nil"/>
            </w:tcBorders>
            <w:vAlign w:val="center"/>
          </w:tcPr>
          <w:p w14:paraId="66F1EEED">
            <w:pPr>
              <w:jc w:val="left"/>
              <w:rPr>
                <w:rFonts w:ascii="宋体" w:hAnsi="宋体" w:cs="宋体"/>
                <w:color w:val="000000"/>
                <w:sz w:val="20"/>
                <w:szCs w:val="20"/>
              </w:rPr>
            </w:pPr>
            <w:r>
              <w:rPr>
                <w:rFonts w:hint="eastAsia" w:ascii="宋体" w:hAnsi="宋体" w:cs="宋体"/>
                <w:color w:val="000000"/>
                <w:kern w:val="0"/>
                <w:sz w:val="20"/>
                <w:szCs w:val="20"/>
              </w:rPr>
              <w:t>部门：</w:t>
            </w:r>
            <w:bookmarkStart w:id="10" w:name="PO_part2Table1DivName6"/>
            <w:r>
              <w:rPr>
                <w:rFonts w:hint="eastAsia" w:ascii="宋体" w:hAnsi="宋体" w:cs="宋体"/>
                <w:color w:val="000000"/>
                <w:kern w:val="0"/>
                <w:sz w:val="20"/>
                <w:szCs w:val="20"/>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10"/>
          </w:p>
        </w:tc>
        <w:tc>
          <w:tcPr>
            <w:tcW w:w="2199" w:type="dxa"/>
            <w:tcBorders>
              <w:top w:val="nil"/>
              <w:left w:val="nil"/>
              <w:bottom w:val="single" w:color="auto" w:sz="4" w:space="0"/>
              <w:right w:val="nil"/>
            </w:tcBorders>
            <w:vAlign w:val="center"/>
          </w:tcPr>
          <w:p w14:paraId="07E3F94E">
            <w:pPr>
              <w:jc w:val="right"/>
              <w:rPr>
                <w:rFonts w:ascii="宋体" w:hAnsi="宋体" w:cs="宋体"/>
                <w:color w:val="000000"/>
                <w:sz w:val="20"/>
                <w:szCs w:val="2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27B4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7090" w:type="dxa"/>
            <w:gridSpan w:val="3"/>
            <w:tcBorders>
              <w:top w:val="single" w:color="auto" w:sz="4" w:space="0"/>
            </w:tcBorders>
            <w:vAlign w:val="center"/>
          </w:tcPr>
          <w:p w14:paraId="65BA4B28">
            <w:pPr>
              <w:jc w:val="center"/>
              <w:rPr>
                <w:rFonts w:ascii="宋体" w:hAnsi="宋体" w:cs="宋体"/>
                <w:color w:val="000000"/>
                <w:szCs w:val="21"/>
              </w:rPr>
            </w:pPr>
            <w:r>
              <w:rPr>
                <w:rFonts w:hint="eastAsia" w:ascii="宋体" w:hAnsi="宋体" w:cs="宋体"/>
                <w:color w:val="000000"/>
                <w:kern w:val="0"/>
                <w:szCs w:val="21"/>
              </w:rPr>
              <w:t>人员经费</w:t>
            </w:r>
          </w:p>
        </w:tc>
        <w:tc>
          <w:tcPr>
            <w:tcW w:w="7084" w:type="dxa"/>
            <w:gridSpan w:val="3"/>
            <w:tcBorders>
              <w:top w:val="single" w:color="auto" w:sz="4" w:space="0"/>
            </w:tcBorders>
            <w:vAlign w:val="center"/>
          </w:tcPr>
          <w:p w14:paraId="3A6182D3">
            <w:pPr>
              <w:jc w:val="center"/>
              <w:rPr>
                <w:rFonts w:ascii="宋体" w:hAnsi="宋体" w:cs="宋体"/>
                <w:color w:val="000000"/>
                <w:szCs w:val="21"/>
              </w:rPr>
            </w:pPr>
            <w:r>
              <w:rPr>
                <w:rFonts w:hint="eastAsia" w:ascii="宋体" w:hAnsi="宋体" w:cs="宋体"/>
                <w:color w:val="000000"/>
                <w:kern w:val="0"/>
                <w:szCs w:val="21"/>
              </w:rPr>
              <w:t>公用经费</w:t>
            </w:r>
          </w:p>
        </w:tc>
      </w:tr>
      <w:tr w14:paraId="69B4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1370" w:type="dxa"/>
            <w:vAlign w:val="center"/>
          </w:tcPr>
          <w:p w14:paraId="58B03FFD">
            <w:pPr>
              <w:widowControl/>
              <w:jc w:val="center"/>
              <w:rPr>
                <w:rFonts w:ascii="宋体" w:hAnsi="宋体" w:cs="宋体"/>
                <w:color w:val="000000"/>
                <w:kern w:val="0"/>
                <w:szCs w:val="21"/>
              </w:rPr>
            </w:pPr>
            <w:r>
              <w:rPr>
                <w:rFonts w:hint="eastAsia" w:ascii="宋体" w:hAnsi="宋体" w:cs="宋体"/>
                <w:color w:val="000000"/>
                <w:kern w:val="0"/>
                <w:szCs w:val="21"/>
              </w:rPr>
              <w:t>经济分类</w:t>
            </w:r>
          </w:p>
          <w:p w14:paraId="7C305F9A">
            <w:pPr>
              <w:widowControl/>
              <w:jc w:val="center"/>
              <w:rPr>
                <w:rFonts w:ascii="宋体" w:hAnsi="宋体" w:cs="宋体"/>
                <w:color w:val="000000"/>
                <w:kern w:val="0"/>
                <w:szCs w:val="21"/>
              </w:rPr>
            </w:pPr>
            <w:r>
              <w:rPr>
                <w:rFonts w:hint="eastAsia" w:ascii="宋体" w:hAnsi="宋体" w:cs="宋体"/>
                <w:color w:val="000000"/>
                <w:kern w:val="0"/>
                <w:szCs w:val="21"/>
              </w:rPr>
              <w:t>科目编码</w:t>
            </w:r>
          </w:p>
        </w:tc>
        <w:tc>
          <w:tcPr>
            <w:tcW w:w="3675" w:type="dxa"/>
            <w:vAlign w:val="center"/>
          </w:tcPr>
          <w:p w14:paraId="71D0FBA1">
            <w:pPr>
              <w:widowControl/>
              <w:jc w:val="center"/>
              <w:rPr>
                <w:rFonts w:ascii="宋体" w:hAnsi="宋体" w:cs="宋体"/>
                <w:color w:val="000000"/>
                <w:kern w:val="0"/>
                <w:szCs w:val="21"/>
              </w:rPr>
            </w:pPr>
            <w:r>
              <w:rPr>
                <w:rFonts w:hint="eastAsia" w:ascii="宋体" w:hAnsi="宋体" w:cs="宋体"/>
                <w:color w:val="000000"/>
                <w:kern w:val="0"/>
                <w:szCs w:val="21"/>
              </w:rPr>
              <w:t>科目名称</w:t>
            </w:r>
          </w:p>
        </w:tc>
        <w:tc>
          <w:tcPr>
            <w:tcW w:w="2045" w:type="dxa"/>
            <w:vAlign w:val="center"/>
          </w:tcPr>
          <w:p w14:paraId="56EDD451">
            <w:pPr>
              <w:widowControl/>
              <w:jc w:val="center"/>
              <w:rPr>
                <w:rFonts w:ascii="宋体" w:hAnsi="宋体" w:cs="宋体"/>
                <w:color w:val="000000"/>
                <w:kern w:val="0"/>
                <w:szCs w:val="21"/>
              </w:rPr>
            </w:pPr>
            <w:r>
              <w:rPr>
                <w:rFonts w:hint="eastAsia" w:ascii="宋体" w:hAnsi="宋体" w:cs="宋体"/>
                <w:color w:val="000000"/>
                <w:kern w:val="0"/>
                <w:szCs w:val="21"/>
              </w:rPr>
              <w:t>金额</w:t>
            </w:r>
          </w:p>
        </w:tc>
        <w:tc>
          <w:tcPr>
            <w:tcW w:w="1417" w:type="dxa"/>
            <w:vAlign w:val="center"/>
          </w:tcPr>
          <w:p w14:paraId="4A3E6835">
            <w:pPr>
              <w:widowControl/>
              <w:jc w:val="center"/>
              <w:rPr>
                <w:rFonts w:ascii="宋体" w:hAnsi="宋体" w:cs="宋体"/>
                <w:color w:val="000000"/>
                <w:kern w:val="0"/>
                <w:szCs w:val="21"/>
              </w:rPr>
            </w:pPr>
            <w:r>
              <w:rPr>
                <w:rFonts w:hint="eastAsia" w:ascii="宋体" w:hAnsi="宋体" w:cs="宋体"/>
                <w:color w:val="000000"/>
                <w:kern w:val="0"/>
                <w:szCs w:val="21"/>
              </w:rPr>
              <w:t>经济分类</w:t>
            </w:r>
          </w:p>
          <w:p w14:paraId="0291F05A">
            <w:pPr>
              <w:widowControl/>
              <w:jc w:val="center"/>
              <w:rPr>
                <w:rFonts w:ascii="宋体" w:hAnsi="宋体" w:cs="宋体"/>
                <w:color w:val="000000"/>
                <w:kern w:val="0"/>
                <w:szCs w:val="21"/>
              </w:rPr>
            </w:pPr>
            <w:r>
              <w:rPr>
                <w:rFonts w:hint="eastAsia" w:ascii="宋体" w:hAnsi="宋体" w:cs="宋体"/>
                <w:color w:val="000000"/>
                <w:kern w:val="0"/>
                <w:szCs w:val="21"/>
              </w:rPr>
              <w:t>科目编码</w:t>
            </w:r>
          </w:p>
        </w:tc>
        <w:tc>
          <w:tcPr>
            <w:tcW w:w="3468" w:type="dxa"/>
            <w:vAlign w:val="center"/>
          </w:tcPr>
          <w:p w14:paraId="1DB924A3">
            <w:pPr>
              <w:widowControl/>
              <w:jc w:val="center"/>
              <w:rPr>
                <w:rFonts w:ascii="宋体" w:hAnsi="宋体" w:cs="宋体"/>
                <w:color w:val="000000"/>
                <w:kern w:val="0"/>
                <w:szCs w:val="21"/>
              </w:rPr>
            </w:pPr>
            <w:r>
              <w:rPr>
                <w:rFonts w:hint="eastAsia" w:ascii="宋体" w:hAnsi="宋体" w:cs="宋体"/>
                <w:color w:val="000000"/>
                <w:kern w:val="0"/>
                <w:szCs w:val="21"/>
              </w:rPr>
              <w:t>科目名称</w:t>
            </w:r>
          </w:p>
        </w:tc>
        <w:tc>
          <w:tcPr>
            <w:tcW w:w="2199" w:type="dxa"/>
            <w:vAlign w:val="center"/>
          </w:tcPr>
          <w:p w14:paraId="5BC745B3">
            <w:pPr>
              <w:widowControl/>
              <w:jc w:val="center"/>
              <w:rPr>
                <w:rFonts w:ascii="宋体" w:hAnsi="宋体" w:cs="宋体"/>
                <w:color w:val="000000"/>
                <w:kern w:val="0"/>
                <w:szCs w:val="21"/>
              </w:rPr>
            </w:pPr>
            <w:r>
              <w:rPr>
                <w:rFonts w:hint="eastAsia" w:ascii="宋体" w:hAnsi="宋体" w:cs="宋体"/>
                <w:color w:val="000000"/>
                <w:kern w:val="0"/>
                <w:szCs w:val="21"/>
              </w:rPr>
              <w:t>金额</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工资福利支出</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415.70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商品和服务支出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38.83</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基本工资</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95.26</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办公费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7.70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30102</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津贴补贴</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50.03</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印刷费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奖金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67.40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咨询费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30106</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伙食补助费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手续费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30107</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绩效工资</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48.68</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水费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30108</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机关事业单位基本养老保险缴费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48.88</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电费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职业年金缴费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37.24</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邮电费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2.03</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30110</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职工基本医疗保险缴费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12.28</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取暖费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公务员医疗补助缴费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4.07</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物业管理费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30112</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其他社会保障缴费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0.93</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差旅费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1.50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住房公积金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29.45</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因公出国（境）费用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30114</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医疗费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维修（护）费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30199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其他工资福利支出</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21.48</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租赁费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对个人和家庭的补助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5.87</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会议费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3.49</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离休费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培训费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30302</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退休费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公务接待费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0.16</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退职（役）费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专用材料费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30304</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抚恤金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被装购置费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30305</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生活补助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4.87</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专用燃料费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30306</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救济费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劳务费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30307</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医疗费补助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1.00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委托业务费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30308</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助学金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工会经费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奖励金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福利费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1.61</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30310</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个人农业生产补贴</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30231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公务用车运行维护费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30311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代缴社会保险费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30239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其他交通费用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12.85</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30399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其他对个人和家庭的补助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30240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税金及附加费用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其他商品和服务支出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9.48</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债务利息及费用支出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国内债务付息</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国外债务付息</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国内债务发行费用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国外债务发行费用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资本性支出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房屋建筑物购建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办公设备购置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专用设备购置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基础设施建设</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大型修缮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信息网络及软件购置更新</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物资储备</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31009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土地补偿</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31010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安置补助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31011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地上附着物和青苗补偿</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31012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拆迁补偿</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30913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公务用车购置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30919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其他交通工具购置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30921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文物和陈列品购置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30922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无形资产购置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其他资本性支出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对企业补助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31101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资本金注入</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政府投资基金股权投资</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31204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费用补贴</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31205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利息补贴</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其他资本性补助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31199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其他对企业补助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国家赔偿费用支出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39908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对民间非营利组织和群众性自治组织补贴</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39909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经常性赠与</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39910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资本性赠与</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人员经费合计</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421.56</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公用经费合计</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38.83</w:t>
            </w:r>
          </w:p>
        </w:tc>
      </w:tr>
      <w:tr w14:paraId="63D7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0D3E6A0C">
            <w:pPr>
              <w:jc w:val="left"/>
              <w:rPr>
                <w:rFonts w:ascii="宋体" w:hAnsi="宋体" w:cs="宋体"/>
                <w:color w:val="000000"/>
                <w:szCs w:val="21"/>
              </w:rPr>
            </w:pPr>
          </w:p>
        </w:tc>
        <w:tc>
          <w:tcPr>
            <w:tcW w:w="3675" w:type="dxa"/>
            <w:tcBorders>
              <w:top w:val="single" w:color="auto" w:sz="4" w:space="0"/>
              <w:left w:val="nil"/>
              <w:bottom w:val="single" w:color="auto" w:sz="4" w:space="0"/>
              <w:right w:val="single" w:color="auto" w:sz="4" w:space="0"/>
            </w:tcBorders>
            <w:vAlign w:val="center"/>
          </w:tcPr>
          <w:p w14:paraId="1DBD97A1">
            <w:pPr>
              <w:widowControl/>
              <w:jc w:val="left"/>
              <w:rPr>
                <w:rFonts w:hint="eastAsia" w:ascii="宋体" w:hAnsi="宋体" w:cs="宋体"/>
                <w:color w:val="000000"/>
                <w:kern w:val="0"/>
                <w:szCs w:val="21"/>
              </w:rPr>
            </w:pPr>
          </w:p>
        </w:tc>
        <w:tc>
          <w:tcPr>
            <w:tcW w:w="2045" w:type="dxa"/>
            <w:tcBorders>
              <w:top w:val="single" w:color="auto" w:sz="4" w:space="0"/>
              <w:left w:val="nil"/>
              <w:bottom w:val="single" w:color="auto" w:sz="4" w:space="0"/>
              <w:right w:val="single" w:color="auto" w:sz="4" w:space="0"/>
            </w:tcBorders>
            <w:vAlign w:val="center"/>
          </w:tcPr>
          <w:p w14:paraId="4EFEAFD9">
            <w:pPr>
              <w:widowControl/>
              <w:jc w:val="right"/>
              <w:rPr>
                <w:rFonts w:hint="eastAsia" w:ascii="宋体" w:hAnsi="宋体" w:cs="宋体"/>
                <w:color w:val="000000"/>
                <w:kern w:val="0"/>
                <w:szCs w:val="21"/>
              </w:rPr>
            </w:pPr>
          </w:p>
        </w:tc>
        <w:tc>
          <w:tcPr>
            <w:tcW w:w="1417" w:type="dxa"/>
            <w:tcBorders>
              <w:top w:val="single" w:color="auto" w:sz="4" w:space="0"/>
              <w:left w:val="nil"/>
              <w:bottom w:val="single" w:color="auto" w:sz="4" w:space="0"/>
              <w:right w:val="single" w:color="auto" w:sz="4" w:space="0"/>
            </w:tcBorders>
            <w:vAlign w:val="center"/>
          </w:tcPr>
          <w:p w14:paraId="7BB57677">
            <w:pPr>
              <w:widowControl/>
              <w:jc w:val="left"/>
              <w:rPr>
                <w:rFonts w:ascii="宋体" w:hAnsi="宋体" w:cs="宋体"/>
                <w:color w:val="000000"/>
                <w:szCs w:val="21"/>
              </w:rPr>
            </w:pPr>
          </w:p>
        </w:tc>
        <w:tc>
          <w:tcPr>
            <w:tcW w:w="3468" w:type="dxa"/>
            <w:tcBorders>
              <w:top w:val="single" w:color="auto" w:sz="4" w:space="0"/>
              <w:left w:val="nil"/>
              <w:bottom w:val="single" w:color="auto" w:sz="4" w:space="0"/>
              <w:right w:val="single" w:color="auto" w:sz="4" w:space="0"/>
            </w:tcBorders>
            <w:vAlign w:val="center"/>
          </w:tcPr>
          <w:p w14:paraId="4673683B">
            <w:pPr>
              <w:widowControl/>
              <w:jc w:val="left"/>
              <w:rPr>
                <w:rFonts w:hint="eastAsia" w:ascii="宋体" w:hAnsi="宋体" w:cs="宋体"/>
                <w:color w:val="000000"/>
                <w:kern w:val="0"/>
                <w:szCs w:val="21"/>
              </w:rPr>
            </w:pPr>
          </w:p>
        </w:tc>
        <w:tc>
          <w:tcPr>
            <w:tcW w:w="2199" w:type="dxa"/>
            <w:tcBorders>
              <w:top w:val="single" w:color="auto" w:sz="4" w:space="0"/>
              <w:left w:val="nil"/>
              <w:bottom w:val="single" w:color="auto" w:sz="4" w:space="0"/>
              <w:right w:val="single" w:color="auto" w:sz="4" w:space="0"/>
            </w:tcBorders>
            <w:vAlign w:val="center"/>
          </w:tcPr>
          <w:p w14:paraId="17F2D2A2">
            <w:pPr>
              <w:widowControl/>
              <w:jc w:val="right"/>
              <w:rPr>
                <w:rFonts w:hint="eastAsia" w:ascii="宋体" w:hAnsi="宋体" w:cs="宋体"/>
                <w:color w:val="000000"/>
                <w:kern w:val="0"/>
                <w:szCs w:val="21"/>
              </w:rPr>
            </w:pPr>
          </w:p>
        </w:tc>
      </w:tr>
    </w:tbl>
    <w:p w14:paraId="72D0FBF1">
      <w:pPr>
        <w:rPr>
          <w:rFonts w:hint="eastAsia"/>
          <w:color w:val="000000"/>
        </w:rPr>
      </w:pPr>
    </w:p>
    <w:p w14:paraId="00A22136">
      <w:pPr>
        <w:rPr>
          <w:rFonts w:hint="eastAsia"/>
          <w:color w:val="000000"/>
        </w:rPr>
      </w:pPr>
      <w:r>
        <w:rPr>
          <w:rFonts w:hint="eastAsia"/>
          <w:color w:val="000000"/>
        </w:rPr>
        <w:t>注：</w:t>
      </w:r>
      <w:bookmarkStart w:id="11" w:name="PO_part2Table1Remark6"/>
      <w:r>
        <w:rPr>
          <w:rFonts w:hint="eastAsia"/>
          <w:color w:val="000000"/>
        </w:rPr>
        <w:t xml:space="preserve"> 本表反映部门</w:t>
      </w:r>
      <w:r>
        <w:rPr>
          <w:rFonts w:hint="eastAsia"/>
          <w:color w:val="000000"/>
          <w:lang w:val="en-US" w:eastAsia="zh-CN"/>
        </w:rPr>
        <w:t>2024</w:t>
      </w:r>
      <w:r>
        <w:rPr>
          <w:rFonts w:hint="eastAsia"/>
          <w:color w:val="000000"/>
        </w:rPr>
        <w:t xml:space="preserve">年度一般公共预算财政拨款基本支出明细情况。 </w:t>
      </w:r>
      <w:bookmarkEnd w:id="8"/>
      <w:bookmarkEnd w:id="11"/>
      <w:bookmarkStart w:id="12" w:name="PO_part2Table7"/>
    </w:p>
    <w:bookmarkEnd w:id="12"/>
    <w:p w14:paraId="111D3C45">
      <w:pPr>
        <w:keepNext w:val="0"/>
        <w:keepLines w:val="0"/>
        <w:pageBreakBefore/>
        <w:widowControl/>
        <w:kinsoku/>
        <w:wordWrap/>
        <w:overflowPunct/>
        <w:topLinePunct w:val="0"/>
        <w:autoSpaceDE/>
        <w:autoSpaceDN/>
        <w:bidi w:val="0"/>
        <w:adjustRightInd/>
        <w:snapToGrid/>
        <w:textAlignment w:val="auto"/>
        <w:rPr>
          <w:color w:val="000000"/>
        </w:rPr>
      </w:pPr>
      <w:bookmarkStart w:id="13" w:name="PO_part2Table8"/>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2455"/>
        <w:gridCol w:w="1740"/>
        <w:gridCol w:w="1666"/>
        <w:gridCol w:w="1772"/>
        <w:gridCol w:w="1772"/>
        <w:gridCol w:w="1772"/>
        <w:gridCol w:w="1772"/>
      </w:tblGrid>
      <w:tr w14:paraId="2C05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8"/>
            <w:tcBorders>
              <w:top w:val="nil"/>
              <w:left w:val="nil"/>
              <w:bottom w:val="nil"/>
              <w:right w:val="nil"/>
            </w:tcBorders>
          </w:tcPr>
          <w:p w14:paraId="4B01B47B">
            <w:pPr>
              <w:jc w:val="right"/>
              <w:rPr>
                <w:rFonts w:hint="eastAsia" w:ascii="宋体" w:hAnsi="宋体" w:eastAsia="宋体" w:cs="宋体"/>
                <w:color w:val="000000"/>
                <w:lang w:val="en-US"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val="en-US" w:eastAsia="zh-CN"/>
              </w:rPr>
              <w:t>7</w:t>
            </w:r>
          </w:p>
        </w:tc>
      </w:tr>
      <w:tr w14:paraId="1E7E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8"/>
            <w:tcBorders>
              <w:top w:val="nil"/>
              <w:left w:val="nil"/>
              <w:bottom w:val="nil"/>
              <w:right w:val="nil"/>
            </w:tcBorders>
          </w:tcPr>
          <w:p w14:paraId="72A30AC8">
            <w:pPr>
              <w:jc w:val="center"/>
              <w:rPr>
                <w:rFonts w:ascii="宋体" w:hAnsi="宋体" w:cs="宋体"/>
                <w:color w:val="000000"/>
              </w:rPr>
            </w:pPr>
            <w:r>
              <w:rPr>
                <w:rFonts w:hint="eastAsia" w:ascii="宋体" w:hAnsi="宋体" w:cs="宋体"/>
                <w:b/>
                <w:bCs/>
                <w:color w:val="000000"/>
                <w:kern w:val="0"/>
                <w:sz w:val="32"/>
                <w:szCs w:val="32"/>
              </w:rPr>
              <w:t>政府性基金预算财政拨款收入支出决算表</w:t>
            </w:r>
          </w:p>
        </w:tc>
      </w:tr>
      <w:tr w14:paraId="1812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7086" w:type="dxa"/>
            <w:gridSpan w:val="4"/>
            <w:tcBorders>
              <w:top w:val="nil"/>
              <w:left w:val="nil"/>
              <w:bottom w:val="single" w:color="auto" w:sz="4" w:space="0"/>
              <w:right w:val="nil"/>
            </w:tcBorders>
            <w:vAlign w:val="center"/>
          </w:tcPr>
          <w:p w14:paraId="4B417117">
            <w:pPr>
              <w:jc w:val="left"/>
              <w:rPr>
                <w:rFonts w:ascii="宋体" w:hAnsi="宋体" w:cs="宋体"/>
                <w:color w:val="000000"/>
              </w:rPr>
            </w:pPr>
            <w:r>
              <w:rPr>
                <w:rFonts w:hint="eastAsia" w:ascii="宋体" w:hAnsi="宋体" w:cs="宋体"/>
                <w:color w:val="000000"/>
                <w:kern w:val="0"/>
                <w:sz w:val="20"/>
                <w:szCs w:val="20"/>
              </w:rPr>
              <w:t>部门：</w:t>
            </w:r>
            <w:bookmarkStart w:id="14" w:name="PO_part2Table1DivName8"/>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14"/>
          </w:p>
        </w:tc>
        <w:tc>
          <w:tcPr>
            <w:tcW w:w="7088" w:type="dxa"/>
            <w:gridSpan w:val="4"/>
            <w:tcBorders>
              <w:top w:val="nil"/>
              <w:left w:val="nil"/>
              <w:bottom w:val="single" w:color="auto" w:sz="4" w:space="0"/>
              <w:right w:val="nil"/>
            </w:tcBorders>
            <w:vAlign w:val="center"/>
          </w:tcPr>
          <w:p w14:paraId="30358903">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77A4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tcBorders>
              <w:top w:val="single" w:color="auto" w:sz="4" w:space="0"/>
            </w:tcBorders>
            <w:vAlign w:val="center"/>
          </w:tcPr>
          <w:p w14:paraId="426A2484">
            <w:pPr>
              <w:jc w:val="center"/>
              <w:rPr>
                <w:rFonts w:ascii="宋体" w:hAnsi="宋体" w:cs="宋体"/>
                <w:color w:val="000000"/>
                <w:szCs w:val="21"/>
              </w:rPr>
            </w:pPr>
            <w:r>
              <w:rPr>
                <w:rFonts w:hint="eastAsia" w:ascii="宋体" w:hAnsi="宋体" w:cs="宋体"/>
                <w:color w:val="000000"/>
                <w:kern w:val="0"/>
                <w:szCs w:val="21"/>
              </w:rPr>
              <w:t>项    目</w:t>
            </w:r>
          </w:p>
        </w:tc>
        <w:tc>
          <w:tcPr>
            <w:tcW w:w="1740" w:type="dxa"/>
            <w:vMerge w:val="restart"/>
            <w:tcBorders>
              <w:top w:val="single" w:color="auto" w:sz="4" w:space="0"/>
            </w:tcBorders>
            <w:vAlign w:val="center"/>
          </w:tcPr>
          <w:p w14:paraId="46190F8D">
            <w:pPr>
              <w:widowControl/>
              <w:jc w:val="center"/>
              <w:rPr>
                <w:rFonts w:ascii="宋体" w:hAnsi="宋体" w:cs="宋体"/>
                <w:color w:val="000000"/>
                <w:kern w:val="0"/>
                <w:szCs w:val="21"/>
              </w:rPr>
            </w:pPr>
            <w:r>
              <w:rPr>
                <w:rFonts w:hint="eastAsia" w:ascii="宋体" w:hAnsi="宋体" w:cs="宋体"/>
                <w:color w:val="000000"/>
                <w:kern w:val="0"/>
                <w:szCs w:val="21"/>
              </w:rPr>
              <w:t>年初结转和结余</w:t>
            </w:r>
          </w:p>
        </w:tc>
        <w:tc>
          <w:tcPr>
            <w:tcW w:w="1666" w:type="dxa"/>
            <w:vMerge w:val="restart"/>
            <w:tcBorders>
              <w:top w:val="single" w:color="auto" w:sz="4" w:space="0"/>
            </w:tcBorders>
            <w:vAlign w:val="center"/>
          </w:tcPr>
          <w:p w14:paraId="6B21CA28">
            <w:pPr>
              <w:widowControl/>
              <w:jc w:val="center"/>
              <w:rPr>
                <w:rFonts w:ascii="宋体" w:hAnsi="宋体" w:cs="宋体"/>
                <w:color w:val="000000"/>
                <w:kern w:val="0"/>
                <w:szCs w:val="21"/>
              </w:rPr>
            </w:pPr>
            <w:r>
              <w:rPr>
                <w:rFonts w:hint="eastAsia" w:ascii="宋体" w:hAnsi="宋体" w:cs="宋体"/>
                <w:color w:val="000000"/>
                <w:kern w:val="0"/>
                <w:szCs w:val="21"/>
              </w:rPr>
              <w:t>本年收入</w:t>
            </w:r>
          </w:p>
        </w:tc>
        <w:tc>
          <w:tcPr>
            <w:tcW w:w="5316" w:type="dxa"/>
            <w:gridSpan w:val="3"/>
            <w:tcBorders>
              <w:top w:val="single" w:color="auto" w:sz="4" w:space="0"/>
            </w:tcBorders>
            <w:vAlign w:val="center"/>
          </w:tcPr>
          <w:p w14:paraId="795847DE">
            <w:pPr>
              <w:jc w:val="center"/>
              <w:rPr>
                <w:rFonts w:ascii="宋体" w:hAnsi="宋体" w:cs="宋体"/>
                <w:color w:val="000000"/>
                <w:szCs w:val="21"/>
              </w:rPr>
            </w:pPr>
            <w:r>
              <w:rPr>
                <w:rFonts w:hint="eastAsia" w:ascii="宋体" w:hAnsi="宋体" w:cs="宋体"/>
                <w:color w:val="000000"/>
                <w:kern w:val="0"/>
                <w:szCs w:val="21"/>
              </w:rPr>
              <w:t>本年支出</w:t>
            </w:r>
          </w:p>
        </w:tc>
        <w:tc>
          <w:tcPr>
            <w:tcW w:w="1772" w:type="dxa"/>
            <w:vMerge w:val="restart"/>
            <w:tcBorders>
              <w:top w:val="single" w:color="auto" w:sz="4" w:space="0"/>
            </w:tcBorders>
            <w:vAlign w:val="center"/>
          </w:tcPr>
          <w:p w14:paraId="14262F79">
            <w:pPr>
              <w:jc w:val="center"/>
              <w:rPr>
                <w:rFonts w:ascii="宋体" w:hAnsi="宋体" w:cs="宋体"/>
                <w:color w:val="000000"/>
                <w:szCs w:val="21"/>
              </w:rPr>
            </w:pPr>
            <w:r>
              <w:rPr>
                <w:rFonts w:hint="eastAsia" w:ascii="宋体" w:hAnsi="宋体" w:cs="宋体"/>
                <w:color w:val="000000"/>
                <w:kern w:val="0"/>
                <w:szCs w:val="21"/>
              </w:rPr>
              <w:t>年末结转和结余</w:t>
            </w:r>
          </w:p>
        </w:tc>
      </w:tr>
      <w:tr w14:paraId="2BE7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25" w:type="dxa"/>
          </w:tcPr>
          <w:p w14:paraId="35362151">
            <w:pPr>
              <w:widowControl/>
              <w:rPr>
                <w:rFonts w:ascii="宋体" w:hAnsi="宋体" w:cs="宋体"/>
                <w:color w:val="000000"/>
                <w:kern w:val="0"/>
                <w:szCs w:val="21"/>
              </w:rPr>
            </w:pPr>
            <w:r>
              <w:rPr>
                <w:rFonts w:hint="eastAsia" w:ascii="宋体" w:hAnsi="宋体" w:cs="宋体"/>
                <w:color w:val="000000"/>
                <w:kern w:val="0"/>
                <w:szCs w:val="21"/>
              </w:rPr>
              <w:t>功能分类</w:t>
            </w:r>
          </w:p>
          <w:p w14:paraId="3FA5DFDE">
            <w:pPr>
              <w:rPr>
                <w:rFonts w:ascii="宋体" w:hAnsi="宋体" w:cs="宋体"/>
                <w:color w:val="000000"/>
                <w:szCs w:val="21"/>
              </w:rPr>
            </w:pPr>
            <w:r>
              <w:rPr>
                <w:rFonts w:hint="eastAsia" w:ascii="宋体" w:hAnsi="宋体" w:cs="宋体"/>
                <w:color w:val="000000"/>
                <w:kern w:val="0"/>
                <w:szCs w:val="21"/>
              </w:rPr>
              <w:t>科目编码</w:t>
            </w:r>
          </w:p>
        </w:tc>
        <w:tc>
          <w:tcPr>
            <w:tcW w:w="2455" w:type="dxa"/>
            <w:vAlign w:val="center"/>
          </w:tcPr>
          <w:p w14:paraId="395FE5BC">
            <w:pPr>
              <w:jc w:val="center"/>
              <w:rPr>
                <w:rFonts w:ascii="宋体" w:hAnsi="宋体" w:cs="宋体"/>
                <w:color w:val="000000"/>
                <w:szCs w:val="21"/>
              </w:rPr>
            </w:pPr>
            <w:r>
              <w:rPr>
                <w:rFonts w:hint="eastAsia" w:ascii="宋体" w:hAnsi="宋体" w:cs="宋体"/>
                <w:color w:val="000000"/>
                <w:kern w:val="0"/>
                <w:szCs w:val="21"/>
              </w:rPr>
              <w:t>科目名称</w:t>
            </w:r>
          </w:p>
        </w:tc>
        <w:tc>
          <w:tcPr>
            <w:tcW w:w="1740" w:type="dxa"/>
            <w:vMerge w:val="continue"/>
          </w:tcPr>
          <w:p w14:paraId="30EF72B9">
            <w:pPr>
              <w:rPr>
                <w:rFonts w:ascii="宋体" w:hAnsi="宋体" w:cs="宋体"/>
                <w:color w:val="000000"/>
                <w:szCs w:val="21"/>
              </w:rPr>
            </w:pPr>
          </w:p>
        </w:tc>
        <w:tc>
          <w:tcPr>
            <w:tcW w:w="1666" w:type="dxa"/>
            <w:vMerge w:val="continue"/>
          </w:tcPr>
          <w:p w14:paraId="7A693BF6">
            <w:pPr>
              <w:rPr>
                <w:rFonts w:ascii="宋体" w:hAnsi="宋体" w:cs="宋体"/>
                <w:color w:val="000000"/>
                <w:szCs w:val="21"/>
              </w:rPr>
            </w:pPr>
          </w:p>
        </w:tc>
        <w:tc>
          <w:tcPr>
            <w:tcW w:w="1772" w:type="dxa"/>
            <w:vAlign w:val="center"/>
          </w:tcPr>
          <w:p w14:paraId="4CA1FBC3">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1772" w:type="dxa"/>
            <w:vAlign w:val="center"/>
          </w:tcPr>
          <w:p w14:paraId="145E453D">
            <w:pPr>
              <w:widowControl/>
              <w:jc w:val="center"/>
              <w:rPr>
                <w:rFonts w:ascii="宋体" w:hAnsi="宋体" w:cs="宋体"/>
                <w:color w:val="000000"/>
                <w:kern w:val="0"/>
                <w:szCs w:val="21"/>
              </w:rPr>
            </w:pPr>
            <w:r>
              <w:rPr>
                <w:rFonts w:hint="eastAsia" w:ascii="宋体" w:hAnsi="宋体" w:cs="宋体"/>
                <w:color w:val="000000"/>
                <w:kern w:val="0"/>
                <w:szCs w:val="21"/>
              </w:rPr>
              <w:t>基本支出</w:t>
            </w:r>
          </w:p>
        </w:tc>
        <w:tc>
          <w:tcPr>
            <w:tcW w:w="1772" w:type="dxa"/>
            <w:vAlign w:val="center"/>
          </w:tcPr>
          <w:p w14:paraId="563794FF">
            <w:pPr>
              <w:widowControl/>
              <w:jc w:val="center"/>
              <w:rPr>
                <w:rFonts w:ascii="宋体" w:hAnsi="宋体" w:cs="宋体"/>
                <w:color w:val="000000"/>
                <w:kern w:val="0"/>
                <w:szCs w:val="21"/>
              </w:rPr>
            </w:pPr>
            <w:r>
              <w:rPr>
                <w:rFonts w:hint="eastAsia" w:ascii="宋体" w:hAnsi="宋体" w:cs="宋体"/>
                <w:color w:val="000000"/>
                <w:kern w:val="0"/>
                <w:szCs w:val="21"/>
              </w:rPr>
              <w:t>项目支出</w:t>
            </w:r>
          </w:p>
        </w:tc>
        <w:tc>
          <w:tcPr>
            <w:tcW w:w="1772" w:type="dxa"/>
            <w:vMerge w:val="continue"/>
          </w:tcPr>
          <w:p w14:paraId="6960A6F0">
            <w:pPr>
              <w:rPr>
                <w:rFonts w:ascii="宋体" w:hAnsi="宋体" w:cs="宋体"/>
                <w:color w:val="000000"/>
                <w:szCs w:val="21"/>
              </w:rPr>
            </w:pPr>
          </w:p>
        </w:tc>
      </w:tr>
      <w:tr w14:paraId="0E57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vAlign w:val="center"/>
          </w:tcPr>
          <w:p w14:paraId="2146A7BD">
            <w:pPr>
              <w:widowControl/>
              <w:jc w:val="center"/>
              <w:rPr>
                <w:rFonts w:ascii="宋体" w:hAnsi="宋体" w:cs="宋体"/>
                <w:color w:val="000000"/>
                <w:kern w:val="0"/>
                <w:szCs w:val="21"/>
              </w:rPr>
            </w:pPr>
            <w:r>
              <w:rPr>
                <w:rFonts w:hint="eastAsia" w:ascii="宋体" w:hAnsi="宋体" w:cs="宋体"/>
                <w:color w:val="000000"/>
                <w:kern w:val="0"/>
                <w:szCs w:val="21"/>
              </w:rPr>
              <w:t>栏次</w:t>
            </w:r>
          </w:p>
        </w:tc>
        <w:tc>
          <w:tcPr>
            <w:tcW w:w="1740" w:type="dxa"/>
            <w:vAlign w:val="center"/>
          </w:tcPr>
          <w:p w14:paraId="74C8E186">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666" w:type="dxa"/>
            <w:vAlign w:val="center"/>
          </w:tcPr>
          <w:p w14:paraId="21A604F7">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772" w:type="dxa"/>
            <w:vAlign w:val="center"/>
          </w:tcPr>
          <w:p w14:paraId="3082EEF5">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772" w:type="dxa"/>
            <w:vAlign w:val="center"/>
          </w:tcPr>
          <w:p w14:paraId="0F42277C">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772" w:type="dxa"/>
            <w:vAlign w:val="center"/>
          </w:tcPr>
          <w:p w14:paraId="0C18D714">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772" w:type="dxa"/>
            <w:vAlign w:val="center"/>
          </w:tcPr>
          <w:p w14:paraId="04717B87">
            <w:pPr>
              <w:widowControl/>
              <w:jc w:val="center"/>
              <w:rPr>
                <w:rFonts w:ascii="宋体" w:hAnsi="宋体" w:cs="宋体"/>
                <w:color w:val="000000"/>
                <w:kern w:val="0"/>
                <w:szCs w:val="21"/>
              </w:rPr>
            </w:pPr>
            <w:r>
              <w:rPr>
                <w:rFonts w:hint="eastAsia" w:ascii="宋体" w:hAnsi="宋体" w:cs="宋体"/>
                <w:color w:val="000000"/>
                <w:kern w:val="0"/>
                <w:szCs w:val="21"/>
              </w:rPr>
              <w:t>6</w:t>
            </w:r>
          </w:p>
        </w:tc>
      </w:tr>
      <w:tr w14:paraId="0229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25" w:type="dxa"/>
            <w:vAlign w:val="center"/>
          </w:tcPr>
          <w:p w14:paraId="35747B93">
            <w:pPr>
              <w:widowControl/>
              <w:jc w:val="center"/>
              <w:rPr>
                <w:rFonts w:ascii="宋体" w:hAnsi="宋体" w:cs="宋体"/>
                <w:color w:val="000000"/>
                <w:kern w:val="0"/>
                <w:szCs w:val="21"/>
              </w:rPr>
            </w:pPr>
          </w:p>
        </w:tc>
        <w:tc>
          <w:tcPr>
            <w:tcW w:w="2455" w:type="dxa"/>
            <w:vAlign w:val="center"/>
          </w:tcPr>
          <w:p w14:paraId="099BB67E">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40" w:type="dxa"/>
            <w:vAlign w:val="center"/>
          </w:tcPr>
          <w:p w14:paraId="7EA98E50">
            <w:pPr>
              <w:widowControl/>
              <w:wordWrap w:val="0"/>
              <w:jc w:val="right"/>
              <w:rPr>
                <w:rFonts w:ascii="宋体" w:hAnsi="宋体" w:cs="宋体"/>
                <w:color w:val="000000"/>
                <w:kern w:val="0"/>
                <w:szCs w:val="21"/>
              </w:rPr>
            </w:pPr>
            <w:r>
              <w:rPr>
                <w:rFonts w:hint="eastAsia" w:ascii="宋体" w:hAnsi="宋体" w:cs="宋体"/>
                <w:color w:val="000000"/>
                <w:kern w:val="0"/>
                <w:szCs w:val="21"/>
              </w:rPr>
              <w:t>0</w:t>
            </w:r>
          </w:p>
        </w:tc>
        <w:tc>
          <w:tcPr>
            <w:tcW w:w="1666" w:type="dxa"/>
            <w:vAlign w:val="center"/>
          </w:tcPr>
          <w:p w14:paraId="3DCE0457">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69C5D000">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6D27F30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70512B96">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76CDF00">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4A1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25" w:type="dxa"/>
            <w:vAlign w:val="center"/>
          </w:tcPr>
          <w:p w14:paraId="5E24992E">
            <w:pPr>
              <w:widowControl/>
              <w:jc w:val="center"/>
              <w:rPr>
                <w:rFonts w:ascii="宋体" w:hAnsi="宋体" w:cs="宋体"/>
                <w:color w:val="000000"/>
                <w:kern w:val="0"/>
                <w:szCs w:val="21"/>
              </w:rPr>
            </w:pPr>
          </w:p>
        </w:tc>
        <w:tc>
          <w:tcPr>
            <w:tcW w:w="2455" w:type="dxa"/>
            <w:vAlign w:val="center"/>
          </w:tcPr>
          <w:p w14:paraId="522C179A">
            <w:pPr>
              <w:widowControl/>
              <w:jc w:val="center"/>
              <w:rPr>
                <w:rFonts w:hint="eastAsia" w:ascii="宋体" w:hAnsi="宋体" w:cs="宋体"/>
                <w:color w:val="000000"/>
                <w:kern w:val="0"/>
                <w:szCs w:val="21"/>
              </w:rPr>
            </w:pPr>
          </w:p>
        </w:tc>
        <w:tc>
          <w:tcPr>
            <w:tcW w:w="1740" w:type="dxa"/>
            <w:vAlign w:val="center"/>
          </w:tcPr>
          <w:p w14:paraId="3FBD21AF">
            <w:pPr>
              <w:widowControl/>
              <w:wordWrap w:val="0"/>
              <w:jc w:val="right"/>
              <w:rPr>
                <w:rFonts w:hint="eastAsia" w:ascii="宋体" w:hAnsi="宋体" w:cs="宋体"/>
                <w:color w:val="000000"/>
                <w:kern w:val="0"/>
                <w:szCs w:val="21"/>
              </w:rPr>
            </w:pPr>
          </w:p>
        </w:tc>
        <w:tc>
          <w:tcPr>
            <w:tcW w:w="1666" w:type="dxa"/>
            <w:vAlign w:val="center"/>
          </w:tcPr>
          <w:p w14:paraId="6D2F01B2">
            <w:pPr>
              <w:widowControl/>
              <w:jc w:val="right"/>
              <w:rPr>
                <w:rFonts w:hint="eastAsia" w:ascii="宋体" w:hAnsi="宋体" w:cs="宋体"/>
                <w:color w:val="000000"/>
                <w:kern w:val="0"/>
                <w:szCs w:val="21"/>
              </w:rPr>
            </w:pPr>
          </w:p>
        </w:tc>
        <w:tc>
          <w:tcPr>
            <w:tcW w:w="1772" w:type="dxa"/>
            <w:vAlign w:val="center"/>
          </w:tcPr>
          <w:p w14:paraId="028A4A8B">
            <w:pPr>
              <w:widowControl/>
              <w:jc w:val="right"/>
              <w:rPr>
                <w:rFonts w:hint="eastAsia" w:ascii="宋体" w:hAnsi="宋体" w:cs="宋体"/>
                <w:color w:val="000000"/>
                <w:kern w:val="0"/>
                <w:szCs w:val="21"/>
              </w:rPr>
            </w:pPr>
          </w:p>
        </w:tc>
        <w:tc>
          <w:tcPr>
            <w:tcW w:w="1772" w:type="dxa"/>
            <w:vAlign w:val="center"/>
          </w:tcPr>
          <w:p w14:paraId="44B1B711">
            <w:pPr>
              <w:widowControl/>
              <w:jc w:val="right"/>
              <w:rPr>
                <w:rFonts w:hint="eastAsia" w:ascii="宋体" w:hAnsi="宋体" w:cs="宋体"/>
                <w:color w:val="000000"/>
                <w:kern w:val="0"/>
                <w:szCs w:val="21"/>
              </w:rPr>
            </w:pPr>
          </w:p>
        </w:tc>
        <w:tc>
          <w:tcPr>
            <w:tcW w:w="1772" w:type="dxa"/>
            <w:vAlign w:val="center"/>
          </w:tcPr>
          <w:p w14:paraId="0A800B0C">
            <w:pPr>
              <w:widowControl/>
              <w:jc w:val="right"/>
              <w:rPr>
                <w:rFonts w:hint="eastAsia" w:ascii="宋体" w:hAnsi="宋体" w:cs="宋体"/>
                <w:color w:val="000000"/>
                <w:kern w:val="0"/>
                <w:szCs w:val="21"/>
              </w:rPr>
            </w:pPr>
          </w:p>
        </w:tc>
        <w:tc>
          <w:tcPr>
            <w:tcW w:w="1772" w:type="dxa"/>
            <w:vAlign w:val="center"/>
          </w:tcPr>
          <w:p w14:paraId="2A277394">
            <w:pPr>
              <w:widowControl/>
              <w:jc w:val="right"/>
              <w:rPr>
                <w:rFonts w:hint="eastAsia" w:ascii="宋体" w:hAnsi="宋体" w:cs="宋体"/>
                <w:color w:val="000000"/>
                <w:kern w:val="0"/>
                <w:szCs w:val="21"/>
              </w:rPr>
            </w:pPr>
          </w:p>
        </w:tc>
      </w:tr>
    </w:tbl>
    <w:p w14:paraId="4723ED64">
      <w:pPr>
        <w:rPr>
          <w:rFonts w:hint="eastAsia"/>
          <w:color w:val="000000"/>
        </w:rPr>
      </w:pPr>
    </w:p>
    <w:p w14:paraId="000360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rPr>
      </w:pPr>
      <w:r>
        <w:rPr>
          <w:rFonts w:hint="eastAsia"/>
          <w:color w:val="000000"/>
        </w:rPr>
        <w:t>注：</w:t>
      </w:r>
      <w:bookmarkStart w:id="15" w:name="PO_part2Table1Remark8"/>
      <w:r>
        <w:rPr>
          <w:rFonts w:hint="eastAsia"/>
          <w:color w:val="000000"/>
        </w:rPr>
        <w:t xml:space="preserve"> 本表反映部门</w:t>
      </w:r>
      <w:r>
        <w:rPr>
          <w:rFonts w:hint="eastAsia"/>
          <w:color w:val="000000"/>
          <w:lang w:val="en-US" w:eastAsia="zh-CN"/>
        </w:rPr>
        <w:t>2024</w:t>
      </w:r>
      <w:r>
        <w:rPr>
          <w:rFonts w:hint="eastAsia"/>
          <w:color w:val="000000"/>
        </w:rPr>
        <w:t>年度政府性基金预算财政拨款收入支出及结转和结余情况。</w:t>
      </w:r>
    </w:p>
    <w:p w14:paraId="44B73E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rPr>
      </w:pPr>
      <w:r>
        <w:rPr>
          <w:rFonts w:hint="eastAsia"/>
          <w:color w:val="000000"/>
        </w:rPr>
        <w:t/>
      </w:r>
      <w:r>
        <w:rPr>
          <w:rFonts w:hint="eastAsia"/>
          <w:color w:val="000000"/>
        </w:rPr>
        <w:t>本部门</w:t>
      </w:r>
      <w:r>
        <w:rPr>
          <w:rFonts w:hint="eastAsia"/>
          <w:color w:val="000000"/>
          <w:lang w:val="en-US" w:eastAsia="zh-CN"/>
        </w:rPr>
        <w:t>2024</w:t>
      </w:r>
      <w:r>
        <w:rPr>
          <w:rFonts w:hint="eastAsia"/>
          <w:color w:val="000000"/>
        </w:rPr>
        <w:t xml:space="preserve">年度没有政府性基金预算财政拨款收入，也没有政府性基金预算财政拨款安排的支出，故本表无数据。 </w:t>
      </w:r>
      <w:bookmarkEnd w:id="15"/>
      <w:r>
        <w:rPr>
          <w:rFonts w:hint="eastAsia"/>
          <w:color w:val="000000"/>
        </w:rPr>
        <w:t/>
      </w:r>
      <w:r>
        <w:rPr>
          <w:rFonts w:hint="eastAsia"/>
          <w:color w:val="000000"/>
        </w:rPr>
        <w:t xml:space="preserve"> </w:t>
      </w:r>
      <w:bookmarkEnd w:id="13"/>
      <w:r>
        <w:rPr>
          <w:rFonts w:hint="eastAsia"/>
          <w:color w:val="000000"/>
        </w:rPr>
        <w:t xml:space="preserve"> </w:t>
      </w:r>
      <w:bookmarkStart w:id="16" w:name="PO_part2Table9"/>
    </w:p>
    <w:p w14:paraId="4D899705">
      <w:pPr>
        <w:rPr>
          <w:rFonts w:hint="eastAsia"/>
          <w:color w:val="000000"/>
        </w:rPr>
      </w:pPr>
    </w:p>
    <w:p w14:paraId="56CD1C83">
      <w:pPr>
        <w:keepNext w:val="0"/>
        <w:keepLines w:val="0"/>
        <w:pageBreakBefore/>
        <w:widowControl/>
        <w:kinsoku/>
        <w:wordWrap/>
        <w:overflowPunct/>
        <w:topLinePunct w:val="0"/>
        <w:autoSpaceDE/>
        <w:autoSpaceDN/>
        <w:bidi w:val="0"/>
        <w:adjustRightInd/>
        <w:snapToGrid/>
        <w:textAlignment w:val="auto"/>
        <w:rPr>
          <w:rFonts w:hint="eastAsia"/>
          <w:color w:val="000000"/>
        </w:rPr>
      </w:pP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2495"/>
        <w:gridCol w:w="3263"/>
        <w:gridCol w:w="143"/>
        <w:gridCol w:w="3512"/>
        <w:gridCol w:w="3576"/>
      </w:tblGrid>
      <w:tr w14:paraId="531E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6"/>
            <w:tcBorders>
              <w:top w:val="nil"/>
              <w:left w:val="nil"/>
              <w:bottom w:val="nil"/>
              <w:right w:val="nil"/>
            </w:tcBorders>
            <w:vAlign w:val="center"/>
          </w:tcPr>
          <w:p w14:paraId="445D23D8">
            <w:pPr>
              <w:jc w:val="right"/>
              <w:rPr>
                <w:rFonts w:hint="eastAsia" w:ascii="宋体" w:hAnsi="宋体" w:eastAsia="宋体" w:cs="宋体"/>
                <w:color w:val="000000"/>
                <w:lang w:val="en-US"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val="en-US" w:eastAsia="zh-CN"/>
              </w:rPr>
              <w:t>8</w:t>
            </w:r>
          </w:p>
        </w:tc>
      </w:tr>
      <w:tr w14:paraId="6CA8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6"/>
            <w:tcBorders>
              <w:top w:val="nil"/>
              <w:left w:val="nil"/>
              <w:bottom w:val="nil"/>
              <w:right w:val="nil"/>
            </w:tcBorders>
          </w:tcPr>
          <w:p w14:paraId="17663C82">
            <w:pPr>
              <w:jc w:val="center"/>
              <w:rPr>
                <w:rFonts w:ascii="宋体" w:hAnsi="宋体" w:cs="宋体"/>
                <w:color w:val="000000"/>
              </w:rPr>
            </w:pPr>
            <w:r>
              <w:rPr>
                <w:rFonts w:hint="eastAsia" w:ascii="宋体" w:hAnsi="宋体" w:cs="宋体"/>
                <w:b/>
                <w:bCs/>
                <w:color w:val="000000"/>
                <w:kern w:val="0"/>
                <w:sz w:val="32"/>
                <w:szCs w:val="32"/>
              </w:rPr>
              <w:t>国有资本经营预算财政拨款支出决算表</w:t>
            </w:r>
          </w:p>
        </w:tc>
      </w:tr>
      <w:tr w14:paraId="4E36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7086" w:type="dxa"/>
            <w:gridSpan w:val="4"/>
            <w:tcBorders>
              <w:top w:val="nil"/>
              <w:left w:val="nil"/>
              <w:bottom w:val="single" w:color="auto" w:sz="4" w:space="0"/>
              <w:right w:val="nil"/>
            </w:tcBorders>
            <w:vAlign w:val="center"/>
          </w:tcPr>
          <w:p w14:paraId="4BC67E22">
            <w:pPr>
              <w:jc w:val="left"/>
              <w:rPr>
                <w:rFonts w:ascii="宋体" w:hAnsi="宋体" w:cs="宋体"/>
                <w:color w:val="000000"/>
              </w:rPr>
            </w:pPr>
            <w:r>
              <w:rPr>
                <w:rFonts w:hint="eastAsia" w:ascii="宋体" w:hAnsi="宋体" w:cs="宋体"/>
                <w:color w:val="000000"/>
                <w:kern w:val="0"/>
                <w:sz w:val="20"/>
                <w:szCs w:val="20"/>
              </w:rPr>
              <w:t>部门：</w:t>
            </w:r>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p>
        </w:tc>
        <w:tc>
          <w:tcPr>
            <w:tcW w:w="7088" w:type="dxa"/>
            <w:gridSpan w:val="2"/>
            <w:tcBorders>
              <w:top w:val="nil"/>
              <w:left w:val="nil"/>
              <w:bottom w:val="single" w:color="auto" w:sz="4" w:space="0"/>
              <w:right w:val="nil"/>
            </w:tcBorders>
            <w:vAlign w:val="center"/>
          </w:tcPr>
          <w:p w14:paraId="15DD933C">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052B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tcBorders>
              <w:top w:val="single" w:color="auto" w:sz="4" w:space="0"/>
            </w:tcBorders>
            <w:vAlign w:val="center"/>
          </w:tcPr>
          <w:p w14:paraId="6E93AB03">
            <w:pPr>
              <w:jc w:val="center"/>
              <w:rPr>
                <w:rFonts w:ascii="宋体" w:hAnsi="宋体" w:cs="宋体"/>
                <w:color w:val="000000"/>
                <w:szCs w:val="21"/>
              </w:rPr>
            </w:pPr>
            <w:r>
              <w:rPr>
                <w:rFonts w:hint="eastAsia" w:ascii="宋体" w:hAnsi="宋体" w:cs="宋体"/>
                <w:color w:val="000000"/>
                <w:kern w:val="0"/>
                <w:szCs w:val="21"/>
              </w:rPr>
              <w:t>项    目</w:t>
            </w:r>
          </w:p>
        </w:tc>
        <w:tc>
          <w:tcPr>
            <w:tcW w:w="10494" w:type="dxa"/>
            <w:gridSpan w:val="4"/>
            <w:tcBorders>
              <w:top w:val="single" w:color="auto" w:sz="4" w:space="0"/>
            </w:tcBorders>
            <w:vAlign w:val="center"/>
          </w:tcPr>
          <w:p w14:paraId="349A9E96">
            <w:pPr>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本年支出</w:t>
            </w:r>
          </w:p>
        </w:tc>
      </w:tr>
      <w:tr w14:paraId="0504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blHeader/>
        </w:trPr>
        <w:tc>
          <w:tcPr>
            <w:tcW w:w="1185" w:type="dxa"/>
          </w:tcPr>
          <w:p w14:paraId="0173C9C4">
            <w:pPr>
              <w:widowControl/>
              <w:rPr>
                <w:rFonts w:ascii="宋体" w:hAnsi="宋体" w:cs="宋体"/>
                <w:color w:val="000000"/>
                <w:kern w:val="0"/>
                <w:szCs w:val="21"/>
              </w:rPr>
            </w:pPr>
            <w:r>
              <w:rPr>
                <w:rFonts w:hint="eastAsia" w:ascii="宋体" w:hAnsi="宋体" w:cs="宋体"/>
                <w:color w:val="000000"/>
                <w:kern w:val="0"/>
                <w:szCs w:val="21"/>
              </w:rPr>
              <w:t>功能分类</w:t>
            </w:r>
          </w:p>
          <w:p w14:paraId="4637FAF3">
            <w:pPr>
              <w:rPr>
                <w:rFonts w:ascii="宋体" w:hAnsi="宋体" w:cs="宋体"/>
                <w:color w:val="000000"/>
                <w:szCs w:val="21"/>
              </w:rPr>
            </w:pPr>
            <w:r>
              <w:rPr>
                <w:rFonts w:hint="eastAsia" w:ascii="宋体" w:hAnsi="宋体" w:cs="宋体"/>
                <w:color w:val="000000"/>
                <w:kern w:val="0"/>
                <w:szCs w:val="21"/>
              </w:rPr>
              <w:t>科目编码</w:t>
            </w:r>
          </w:p>
        </w:tc>
        <w:tc>
          <w:tcPr>
            <w:tcW w:w="2495" w:type="dxa"/>
            <w:vAlign w:val="center"/>
          </w:tcPr>
          <w:p w14:paraId="7CF35A49">
            <w:pPr>
              <w:jc w:val="center"/>
              <w:rPr>
                <w:rFonts w:ascii="宋体" w:hAnsi="宋体" w:cs="宋体"/>
                <w:color w:val="000000"/>
                <w:szCs w:val="21"/>
              </w:rPr>
            </w:pPr>
            <w:r>
              <w:rPr>
                <w:rFonts w:hint="eastAsia" w:ascii="宋体" w:hAnsi="宋体" w:cs="宋体"/>
                <w:color w:val="000000"/>
                <w:kern w:val="0"/>
                <w:szCs w:val="21"/>
              </w:rPr>
              <w:t>科目名称</w:t>
            </w:r>
          </w:p>
        </w:tc>
        <w:tc>
          <w:tcPr>
            <w:tcW w:w="3263" w:type="dxa"/>
            <w:vAlign w:val="center"/>
          </w:tcPr>
          <w:p w14:paraId="05CB3A3A">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3655" w:type="dxa"/>
            <w:gridSpan w:val="2"/>
            <w:vAlign w:val="center"/>
          </w:tcPr>
          <w:p w14:paraId="3D9878FB">
            <w:pPr>
              <w:widowControl/>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基本支出</w:t>
            </w:r>
          </w:p>
        </w:tc>
        <w:tc>
          <w:tcPr>
            <w:tcW w:w="3576" w:type="dxa"/>
            <w:vAlign w:val="center"/>
          </w:tcPr>
          <w:p w14:paraId="754B0741">
            <w:pPr>
              <w:widowControl/>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项目支出</w:t>
            </w:r>
          </w:p>
        </w:tc>
      </w:tr>
      <w:tr w14:paraId="5CF9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vAlign w:val="center"/>
          </w:tcPr>
          <w:p w14:paraId="62A25517">
            <w:pPr>
              <w:widowControl/>
              <w:jc w:val="center"/>
              <w:rPr>
                <w:rFonts w:ascii="宋体" w:hAnsi="宋体" w:cs="宋体"/>
                <w:color w:val="000000"/>
                <w:kern w:val="0"/>
                <w:szCs w:val="21"/>
              </w:rPr>
            </w:pPr>
            <w:r>
              <w:rPr>
                <w:rFonts w:hint="eastAsia" w:ascii="宋体" w:hAnsi="宋体" w:cs="宋体"/>
                <w:color w:val="000000"/>
                <w:kern w:val="0"/>
                <w:szCs w:val="21"/>
              </w:rPr>
              <w:t>栏次</w:t>
            </w:r>
          </w:p>
        </w:tc>
        <w:tc>
          <w:tcPr>
            <w:tcW w:w="3263" w:type="dxa"/>
            <w:vAlign w:val="center"/>
          </w:tcPr>
          <w:p w14:paraId="6BC8ABF6">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w:t>
            </w:r>
          </w:p>
        </w:tc>
        <w:tc>
          <w:tcPr>
            <w:tcW w:w="3655" w:type="dxa"/>
            <w:gridSpan w:val="2"/>
            <w:vAlign w:val="center"/>
          </w:tcPr>
          <w:p w14:paraId="5CA0F483">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c>
          <w:tcPr>
            <w:tcW w:w="3576" w:type="dxa"/>
            <w:vAlign w:val="center"/>
          </w:tcPr>
          <w:p w14:paraId="0202E2DD">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r>
      <w:tr w14:paraId="6FA9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185" w:type="dxa"/>
            <w:vAlign w:val="center"/>
          </w:tcPr>
          <w:p w14:paraId="50866DD9">
            <w:pPr>
              <w:widowControl/>
              <w:jc w:val="center"/>
              <w:rPr>
                <w:rFonts w:ascii="宋体" w:hAnsi="宋体" w:cs="宋体"/>
                <w:color w:val="000000"/>
                <w:kern w:val="0"/>
                <w:szCs w:val="21"/>
              </w:rPr>
            </w:pPr>
          </w:p>
        </w:tc>
        <w:tc>
          <w:tcPr>
            <w:tcW w:w="2495" w:type="dxa"/>
            <w:vAlign w:val="center"/>
          </w:tcPr>
          <w:p w14:paraId="17945F7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3263" w:type="dxa"/>
            <w:vAlign w:val="center"/>
          </w:tcPr>
          <w:p w14:paraId="03ECF4CC">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3655" w:type="dxa"/>
            <w:gridSpan w:val="2"/>
            <w:vAlign w:val="center"/>
          </w:tcPr>
          <w:p w14:paraId="76BEA1CC">
            <w:pPr>
              <w:widowControl/>
              <w:jc w:val="right"/>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
            </w:r>
            <w:r>
              <w:rPr>
                <w:rFonts w:hint="eastAsia" w:ascii="宋体" w:hAnsi="宋体" w:cs="宋体"/>
                <w:color w:val="000000"/>
                <w:kern w:val="0"/>
                <w:szCs w:val="21"/>
                <w:lang w:val="en-US" w:eastAsia="zh-CN"/>
              </w:rPr>
              <w:t>0</w:t>
            </w:r>
            <w:r>
              <w:rPr>
                <w:rFonts w:hint="eastAsia" w:ascii="宋体" w:hAnsi="宋体" w:cs="宋体"/>
                <w:color w:val="000000"/>
                <w:kern w:val="0"/>
                <w:szCs w:val="21"/>
                <w:lang w:val="en-US" w:eastAsia="zh-CN"/>
              </w:rPr>
              <w:t/>
            </w:r>
          </w:p>
        </w:tc>
        <w:tc>
          <w:tcPr>
            <w:tcW w:w="3576" w:type="dxa"/>
            <w:vAlign w:val="center"/>
          </w:tcPr>
          <w:p w14:paraId="7E015993">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3A1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185" w:type="dxa"/>
            <w:vAlign w:val="center"/>
          </w:tcPr>
          <w:p w14:paraId="37F29188">
            <w:pPr>
              <w:widowControl/>
              <w:jc w:val="center"/>
              <w:rPr>
                <w:rFonts w:ascii="宋体" w:hAnsi="宋体" w:cs="宋体"/>
                <w:color w:val="000000"/>
                <w:kern w:val="0"/>
                <w:szCs w:val="21"/>
              </w:rPr>
            </w:pPr>
          </w:p>
        </w:tc>
        <w:tc>
          <w:tcPr>
            <w:tcW w:w="2495" w:type="dxa"/>
            <w:vAlign w:val="center"/>
          </w:tcPr>
          <w:p w14:paraId="6D3645DA">
            <w:pPr>
              <w:widowControl/>
              <w:jc w:val="center"/>
              <w:rPr>
                <w:rFonts w:hint="eastAsia" w:ascii="宋体" w:hAnsi="宋体" w:cs="宋体"/>
                <w:color w:val="000000"/>
                <w:kern w:val="0"/>
                <w:szCs w:val="21"/>
              </w:rPr>
            </w:pPr>
          </w:p>
        </w:tc>
        <w:tc>
          <w:tcPr>
            <w:tcW w:w="3263" w:type="dxa"/>
            <w:vAlign w:val="center"/>
          </w:tcPr>
          <w:p w14:paraId="0A8044F4">
            <w:pPr>
              <w:widowControl/>
              <w:jc w:val="right"/>
              <w:rPr>
                <w:rFonts w:hint="eastAsia" w:ascii="宋体" w:hAnsi="宋体" w:cs="宋体"/>
                <w:color w:val="000000"/>
                <w:kern w:val="0"/>
                <w:szCs w:val="21"/>
              </w:rPr>
            </w:pPr>
          </w:p>
        </w:tc>
        <w:tc>
          <w:tcPr>
            <w:tcW w:w="3655" w:type="dxa"/>
            <w:gridSpan w:val="2"/>
            <w:vAlign w:val="center"/>
          </w:tcPr>
          <w:p w14:paraId="142F71D0">
            <w:pPr>
              <w:widowControl/>
              <w:jc w:val="right"/>
              <w:rPr>
                <w:rFonts w:hint="eastAsia" w:ascii="宋体" w:hAnsi="宋体" w:cs="宋体"/>
                <w:color w:val="000000"/>
                <w:kern w:val="0"/>
                <w:szCs w:val="21"/>
              </w:rPr>
            </w:pPr>
          </w:p>
        </w:tc>
        <w:tc>
          <w:tcPr>
            <w:tcW w:w="3576" w:type="dxa"/>
            <w:vAlign w:val="center"/>
          </w:tcPr>
          <w:p w14:paraId="3E393EB9">
            <w:pPr>
              <w:widowControl/>
              <w:jc w:val="right"/>
              <w:rPr>
                <w:rFonts w:hint="eastAsia" w:ascii="宋体" w:hAnsi="宋体" w:cs="宋体"/>
                <w:color w:val="000000"/>
                <w:kern w:val="0"/>
                <w:szCs w:val="21"/>
              </w:rPr>
            </w:pPr>
          </w:p>
        </w:tc>
      </w:tr>
    </w:tbl>
    <w:p w14:paraId="4F4559FF">
      <w:pPr>
        <w:rPr>
          <w:rFonts w:hint="eastAsia"/>
          <w:color w:val="000000"/>
        </w:rPr>
      </w:pPr>
    </w:p>
    <w:p w14:paraId="405D3E15">
      <w:pPr>
        <w:rPr>
          <w:rFonts w:hint="eastAsia" w:eastAsia="宋体"/>
          <w:color w:val="000000"/>
          <w:lang w:val="en-US" w:eastAsia="zh-CN"/>
        </w:rPr>
      </w:pPr>
      <w:r>
        <w:rPr>
          <w:rFonts w:hint="eastAsia"/>
          <w:color w:val="000000"/>
        </w:rPr>
        <w:t>注：</w:t>
      </w:r>
      <w:bookmarkStart w:id="17" w:name="PO_part2Table1Remark9"/>
      <w:r>
        <w:rPr>
          <w:rFonts w:hint="eastAsia"/>
          <w:color w:val="000000"/>
        </w:rPr>
        <w:t xml:space="preserve"> 本表反映部门</w:t>
      </w:r>
      <w:r>
        <w:rPr>
          <w:rFonts w:hint="eastAsia"/>
          <w:color w:val="000000"/>
          <w:lang w:val="en-US" w:eastAsia="zh-CN"/>
        </w:rPr>
        <w:t>2024</w:t>
      </w:r>
      <w:r>
        <w:rPr>
          <w:rFonts w:hint="eastAsia"/>
          <w:color w:val="000000"/>
        </w:rPr>
        <w:t>年度国有资本经营预算财政拨款支出情况。</w:t>
      </w:r>
    </w:p>
    <w:p w14:paraId="2F1330D7">
      <w:pPr>
        <w:spacing w:line="560" w:lineRule="exact"/>
        <w:rPr>
          <w:rFonts w:hint="eastAsia"/>
          <w:color w:val="000000"/>
        </w:rPr>
      </w:pPr>
      <w:r>
        <w:rPr>
          <w:rFonts w:hint="eastAsia"/>
          <w:color w:val="000000"/>
        </w:rPr>
        <w:t/>
      </w:r>
      <w:r>
        <w:rPr>
          <w:rFonts w:hint="eastAsia"/>
          <w:color w:val="000000"/>
        </w:rPr>
        <w:t>本部门</w:t>
      </w:r>
      <w:r>
        <w:rPr>
          <w:rFonts w:hint="eastAsia"/>
          <w:color w:val="000000"/>
          <w:lang w:val="en-US" w:eastAsia="zh-CN"/>
        </w:rPr>
        <w:t>2024</w:t>
      </w:r>
      <w:r>
        <w:rPr>
          <w:rFonts w:hint="eastAsia"/>
          <w:color w:val="000000"/>
        </w:rPr>
        <w:t xml:space="preserve">年度没有国有资本经营预算财政拨款收入，也没有国有资本经营预算财政拨款安排的支出，故本表无数据。 </w:t>
      </w:r>
      <w:bookmarkEnd w:id="17"/>
      <w:r>
        <w:rPr>
          <w:rFonts w:hint="eastAsia"/>
          <w:color w:val="000000"/>
        </w:rPr>
        <w:t xml:space="preserve"> </w:t>
      </w:r>
      <w:r>
        <w:rPr>
          <w:rFonts w:hint="eastAsia"/>
          <w:color w:val="000000"/>
        </w:rPr>
        <w:t/>
      </w:r>
      <w:r>
        <w:rPr>
          <w:rFonts w:hint="eastAsia"/>
          <w:color w:val="000000"/>
        </w:rPr>
        <w:t xml:space="preserve">   </w:t>
      </w:r>
      <w:bookmarkEnd w:id="16"/>
    </w:p>
    <w:p w14:paraId="1345473A">
      <w:pPr>
        <w:keepNext w:val="0"/>
        <w:keepLines w:val="0"/>
        <w:pageBreakBefore/>
        <w:widowControl/>
        <w:kinsoku/>
        <w:wordWrap/>
        <w:overflowPunct/>
        <w:topLinePunct w:val="0"/>
        <w:autoSpaceDE/>
        <w:autoSpaceDN/>
        <w:bidi w:val="0"/>
        <w:adjustRightInd/>
        <w:snapToGrid/>
        <w:spacing w:line="560" w:lineRule="exact"/>
        <w:textAlignment w:val="auto"/>
        <w:rPr>
          <w:rFonts w:hint="eastAsia" w:ascii="仿宋_GB2312" w:eastAsia="仿宋_GB2312"/>
          <w:b/>
          <w:sz w:val="32"/>
          <w:szCs w:val="32"/>
        </w:rPr>
      </w:pP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2"/>
        <w:gridCol w:w="1182"/>
        <w:gridCol w:w="1182"/>
        <w:gridCol w:w="1182"/>
        <w:gridCol w:w="1182"/>
        <w:gridCol w:w="1182"/>
        <w:gridCol w:w="1182"/>
        <w:gridCol w:w="1182"/>
        <w:gridCol w:w="1182"/>
        <w:gridCol w:w="1182"/>
        <w:gridCol w:w="1171"/>
      </w:tblGrid>
      <w:tr w14:paraId="2CD9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4174" w:type="dxa"/>
            <w:gridSpan w:val="12"/>
            <w:tcBorders>
              <w:top w:val="nil"/>
              <w:left w:val="nil"/>
              <w:bottom w:val="nil"/>
              <w:right w:val="nil"/>
            </w:tcBorders>
            <w:vAlign w:val="center"/>
          </w:tcPr>
          <w:p w14:paraId="4BB177E7">
            <w:pPr>
              <w:jc w:val="right"/>
              <w:rPr>
                <w:rFonts w:hint="eastAsia" w:ascii="宋体" w:hAnsi="宋体" w:eastAsia="宋体" w:cs="宋体"/>
                <w:color w:val="000000"/>
                <w:lang w:val="en-US"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val="en-US" w:eastAsia="zh-CN"/>
              </w:rPr>
              <w:t>9</w:t>
            </w:r>
          </w:p>
        </w:tc>
      </w:tr>
      <w:tr w14:paraId="1843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4174" w:type="dxa"/>
            <w:gridSpan w:val="12"/>
            <w:tcBorders>
              <w:top w:val="nil"/>
              <w:left w:val="nil"/>
              <w:bottom w:val="nil"/>
              <w:right w:val="nil"/>
            </w:tcBorders>
          </w:tcPr>
          <w:p w14:paraId="4BCD860C">
            <w:pPr>
              <w:jc w:val="center"/>
              <w:rPr>
                <w:rFonts w:ascii="宋体" w:hAnsi="宋体" w:cs="宋体"/>
                <w:b/>
                <w:color w:val="000000"/>
              </w:rPr>
            </w:pPr>
            <w:r>
              <w:rPr>
                <w:rFonts w:hint="eastAsia" w:ascii="宋体" w:hAnsi="宋体" w:cs="宋体"/>
                <w:b/>
                <w:color w:val="000000"/>
                <w:kern w:val="0"/>
                <w:sz w:val="32"/>
                <w:szCs w:val="32"/>
              </w:rPr>
              <w:t>财政拨款安排的“三公”经费支出决算表</w:t>
            </w:r>
          </w:p>
        </w:tc>
      </w:tr>
      <w:tr w14:paraId="5B6E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0639" w:type="dxa"/>
            <w:gridSpan w:val="9"/>
            <w:tcBorders>
              <w:top w:val="nil"/>
              <w:left w:val="nil"/>
              <w:bottom w:val="single" w:color="auto" w:sz="4" w:space="0"/>
              <w:right w:val="nil"/>
            </w:tcBorders>
            <w:vAlign w:val="center"/>
          </w:tcPr>
          <w:p w14:paraId="1009E663">
            <w:pPr>
              <w:spacing w:line="288" w:lineRule="auto"/>
              <w:jc w:val="left"/>
              <w:rPr>
                <w:rFonts w:ascii="宋体" w:hAnsi="宋体" w:cs="宋体"/>
                <w:color w:val="000000"/>
                <w:sz w:val="28"/>
                <w:szCs w:val="28"/>
              </w:rPr>
            </w:pPr>
            <w:r>
              <w:rPr>
                <w:rFonts w:hint="eastAsia" w:ascii="宋体" w:hAnsi="宋体" w:cs="宋体"/>
                <w:color w:val="000000"/>
                <w:kern w:val="0"/>
                <w:sz w:val="20"/>
                <w:szCs w:val="20"/>
              </w:rPr>
              <w:t xml:space="preserve">部门： </w:t>
            </w:r>
            <w:r>
              <w:rPr>
                <w:rFonts w:hint="eastAsia" w:ascii="宋体" w:hAnsi="宋体" w:cs="宋体"/>
                <w:color w:val="000000" w:themeColor="text1"/>
                <w:kern w:val="0"/>
                <w:sz w:val="20"/>
                <w:szCs w:val="20"/>
                <w:u w:val="none"/>
                <w:lang w:val="en-US" w:eastAsia="zh-CN"/>
                <w14:textFill>
                  <w14:solidFill>
                    <w14:schemeClr w14:val="tx1"/>
                  </w14:solidFill>
                </w14:textFill>
              </w:rPr>
              <w:t>百色市信访局</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p>
        </w:tc>
        <w:tc>
          <w:tcPr>
            <w:tcW w:w="3535" w:type="dxa"/>
            <w:gridSpan w:val="3"/>
            <w:tcBorders>
              <w:top w:val="nil"/>
              <w:left w:val="nil"/>
              <w:bottom w:val="single" w:color="auto" w:sz="4" w:space="0"/>
              <w:right w:val="nil"/>
            </w:tcBorders>
            <w:vAlign w:val="center"/>
          </w:tcPr>
          <w:p w14:paraId="1B03172C">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1965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93" w:type="dxa"/>
            <w:gridSpan w:val="6"/>
            <w:tcBorders>
              <w:top w:val="single" w:color="auto" w:sz="4" w:space="0"/>
            </w:tcBorders>
            <w:vAlign w:val="center"/>
          </w:tcPr>
          <w:p w14:paraId="1DDDFCF6">
            <w:pPr>
              <w:jc w:val="center"/>
              <w:rPr>
                <w:rFonts w:ascii="宋体" w:hAnsi="宋体" w:cs="宋体"/>
                <w:color w:val="000000"/>
                <w:szCs w:val="21"/>
              </w:rPr>
            </w:pPr>
            <w:r>
              <w:rPr>
                <w:rFonts w:hint="eastAsia" w:ascii="宋体" w:hAnsi="宋体" w:cs="Arial"/>
                <w:color w:val="000000"/>
                <w:kern w:val="0"/>
                <w:szCs w:val="21"/>
                <w:lang w:val="en-US" w:eastAsia="zh-CN"/>
              </w:rPr>
              <w:t>2024</w:t>
            </w:r>
            <w:r>
              <w:rPr>
                <w:rFonts w:hint="eastAsia" w:ascii="宋体" w:hAnsi="宋体" w:cs="Arial"/>
                <w:color w:val="000000"/>
                <w:kern w:val="0"/>
                <w:szCs w:val="21"/>
              </w:rPr>
              <w:t>年度预算数</w:t>
            </w:r>
          </w:p>
        </w:tc>
        <w:tc>
          <w:tcPr>
            <w:tcW w:w="7081" w:type="dxa"/>
            <w:gridSpan w:val="6"/>
            <w:tcBorders>
              <w:top w:val="single" w:color="auto" w:sz="4" w:space="0"/>
            </w:tcBorders>
            <w:vAlign w:val="center"/>
          </w:tcPr>
          <w:p w14:paraId="57CF99ED">
            <w:pPr>
              <w:jc w:val="center"/>
              <w:rPr>
                <w:rFonts w:ascii="宋体" w:hAnsi="宋体" w:cs="宋体"/>
                <w:color w:val="000000"/>
                <w:szCs w:val="21"/>
              </w:rPr>
            </w:pPr>
            <w:r>
              <w:rPr>
                <w:rFonts w:hint="eastAsia" w:ascii="宋体" w:hAnsi="宋体" w:cs="宋体"/>
                <w:color w:val="000000"/>
                <w:kern w:val="0"/>
                <w:szCs w:val="21"/>
                <w:lang w:val="en-US" w:eastAsia="zh-CN"/>
              </w:rPr>
              <w:t>2024</w:t>
            </w:r>
            <w:r>
              <w:rPr>
                <w:rFonts w:hint="eastAsia" w:ascii="宋体" w:hAnsi="宋体" w:cs="宋体"/>
                <w:color w:val="000000"/>
                <w:kern w:val="0"/>
                <w:szCs w:val="21"/>
              </w:rPr>
              <w:t>年度决算数</w:t>
            </w:r>
          </w:p>
        </w:tc>
      </w:tr>
      <w:tr w14:paraId="3CBF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Merge w:val="restart"/>
            <w:vAlign w:val="center"/>
          </w:tcPr>
          <w:p w14:paraId="23A0DEA0">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82" w:type="dxa"/>
            <w:vMerge w:val="restart"/>
            <w:vAlign w:val="center"/>
          </w:tcPr>
          <w:p w14:paraId="685A2C4B">
            <w:pPr>
              <w:widowControl/>
              <w:jc w:val="center"/>
              <w:rPr>
                <w:rFonts w:ascii="宋体" w:hAnsi="宋体" w:cs="宋体"/>
                <w:color w:val="000000"/>
                <w:kern w:val="0"/>
                <w:szCs w:val="21"/>
              </w:rPr>
            </w:pPr>
            <w:r>
              <w:rPr>
                <w:rFonts w:hint="eastAsia" w:ascii="宋体" w:hAnsi="宋体" w:cs="宋体"/>
                <w:color w:val="000000"/>
                <w:kern w:val="0"/>
                <w:szCs w:val="21"/>
              </w:rPr>
              <w:t>因公出国（境）费</w:t>
            </w:r>
          </w:p>
        </w:tc>
        <w:tc>
          <w:tcPr>
            <w:tcW w:w="3546" w:type="dxa"/>
            <w:gridSpan w:val="3"/>
            <w:vAlign w:val="center"/>
          </w:tcPr>
          <w:p w14:paraId="2321917E">
            <w:pPr>
              <w:jc w:val="center"/>
              <w:rPr>
                <w:rFonts w:ascii="宋体" w:hAnsi="宋体" w:cs="宋体"/>
                <w:color w:val="000000"/>
                <w:szCs w:val="21"/>
              </w:rPr>
            </w:pPr>
            <w:r>
              <w:rPr>
                <w:rFonts w:hint="eastAsia" w:ascii="宋体" w:hAnsi="宋体" w:cs="宋体"/>
                <w:color w:val="000000"/>
                <w:kern w:val="0"/>
                <w:szCs w:val="21"/>
              </w:rPr>
              <w:t>公务用车购置及运行费</w:t>
            </w:r>
          </w:p>
        </w:tc>
        <w:tc>
          <w:tcPr>
            <w:tcW w:w="1182" w:type="dxa"/>
            <w:vMerge w:val="restart"/>
            <w:vAlign w:val="center"/>
          </w:tcPr>
          <w:p w14:paraId="2BB59124">
            <w:pPr>
              <w:widowControl/>
              <w:jc w:val="center"/>
              <w:rPr>
                <w:rFonts w:ascii="宋体" w:hAnsi="宋体" w:cs="宋体"/>
                <w:color w:val="000000"/>
                <w:kern w:val="0"/>
                <w:szCs w:val="21"/>
              </w:rPr>
            </w:pPr>
            <w:r>
              <w:rPr>
                <w:rFonts w:hint="eastAsia" w:ascii="宋体" w:hAnsi="宋体" w:cs="宋体"/>
                <w:color w:val="000000"/>
                <w:kern w:val="0"/>
                <w:szCs w:val="21"/>
              </w:rPr>
              <w:t>公务接待费</w:t>
            </w:r>
          </w:p>
        </w:tc>
        <w:tc>
          <w:tcPr>
            <w:tcW w:w="1182" w:type="dxa"/>
            <w:vMerge w:val="restart"/>
            <w:vAlign w:val="center"/>
          </w:tcPr>
          <w:p w14:paraId="267AC024">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82" w:type="dxa"/>
            <w:vMerge w:val="restart"/>
            <w:vAlign w:val="center"/>
          </w:tcPr>
          <w:p w14:paraId="7529D960">
            <w:pPr>
              <w:jc w:val="center"/>
              <w:rPr>
                <w:rFonts w:ascii="宋体" w:hAnsi="宋体" w:cs="宋体"/>
                <w:color w:val="000000"/>
                <w:szCs w:val="21"/>
              </w:rPr>
            </w:pPr>
            <w:r>
              <w:rPr>
                <w:rFonts w:hint="eastAsia" w:ascii="宋体" w:hAnsi="宋体" w:cs="宋体"/>
                <w:color w:val="000000"/>
                <w:kern w:val="0"/>
                <w:szCs w:val="21"/>
              </w:rPr>
              <w:t>因公出国（境）费</w:t>
            </w:r>
          </w:p>
        </w:tc>
        <w:tc>
          <w:tcPr>
            <w:tcW w:w="3546" w:type="dxa"/>
            <w:gridSpan w:val="3"/>
            <w:vAlign w:val="center"/>
          </w:tcPr>
          <w:p w14:paraId="721D536D">
            <w:pPr>
              <w:jc w:val="center"/>
              <w:rPr>
                <w:rFonts w:ascii="宋体" w:hAnsi="宋体" w:cs="宋体"/>
                <w:color w:val="000000"/>
                <w:szCs w:val="21"/>
              </w:rPr>
            </w:pPr>
            <w:r>
              <w:rPr>
                <w:rFonts w:hint="eastAsia" w:ascii="宋体" w:hAnsi="宋体" w:cs="宋体"/>
                <w:color w:val="000000"/>
                <w:kern w:val="0"/>
                <w:szCs w:val="21"/>
              </w:rPr>
              <w:t>公务用车购置及运行费</w:t>
            </w:r>
          </w:p>
        </w:tc>
        <w:tc>
          <w:tcPr>
            <w:tcW w:w="1171" w:type="dxa"/>
            <w:vMerge w:val="restart"/>
            <w:vAlign w:val="center"/>
          </w:tcPr>
          <w:p w14:paraId="1F056E74">
            <w:pPr>
              <w:jc w:val="center"/>
              <w:rPr>
                <w:rFonts w:ascii="宋体" w:hAnsi="宋体" w:cs="宋体"/>
                <w:color w:val="000000"/>
                <w:szCs w:val="21"/>
              </w:rPr>
            </w:pPr>
            <w:r>
              <w:rPr>
                <w:rFonts w:hint="eastAsia" w:ascii="宋体" w:hAnsi="宋体" w:cs="宋体"/>
                <w:color w:val="000000"/>
                <w:kern w:val="0"/>
                <w:szCs w:val="21"/>
              </w:rPr>
              <w:t>公务接待费</w:t>
            </w:r>
          </w:p>
        </w:tc>
      </w:tr>
      <w:tr w14:paraId="2A91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Merge w:val="continue"/>
          </w:tcPr>
          <w:p w14:paraId="6E6968CC">
            <w:pPr>
              <w:spacing w:line="288" w:lineRule="auto"/>
              <w:rPr>
                <w:rFonts w:ascii="宋体" w:hAnsi="宋体" w:cs="宋体"/>
                <w:color w:val="000000"/>
                <w:szCs w:val="21"/>
              </w:rPr>
            </w:pPr>
          </w:p>
        </w:tc>
        <w:tc>
          <w:tcPr>
            <w:tcW w:w="1182" w:type="dxa"/>
            <w:vMerge w:val="continue"/>
          </w:tcPr>
          <w:p w14:paraId="3D4A0483">
            <w:pPr>
              <w:spacing w:line="288" w:lineRule="auto"/>
              <w:rPr>
                <w:rFonts w:ascii="宋体" w:hAnsi="宋体" w:cs="宋体"/>
                <w:color w:val="000000"/>
                <w:szCs w:val="21"/>
              </w:rPr>
            </w:pPr>
          </w:p>
        </w:tc>
        <w:tc>
          <w:tcPr>
            <w:tcW w:w="1182" w:type="dxa"/>
            <w:vAlign w:val="center"/>
          </w:tcPr>
          <w:p w14:paraId="6A32DC27">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1182" w:type="dxa"/>
            <w:vAlign w:val="center"/>
          </w:tcPr>
          <w:p w14:paraId="4FA32D29">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79084CFD">
            <w:pPr>
              <w:widowControl/>
              <w:jc w:val="center"/>
              <w:rPr>
                <w:rFonts w:ascii="宋体" w:hAnsi="宋体" w:cs="宋体"/>
                <w:color w:val="000000"/>
                <w:kern w:val="0"/>
                <w:szCs w:val="21"/>
              </w:rPr>
            </w:pPr>
            <w:r>
              <w:rPr>
                <w:rFonts w:hint="eastAsia" w:ascii="宋体" w:hAnsi="宋体" w:cs="宋体"/>
                <w:color w:val="000000"/>
                <w:kern w:val="0"/>
                <w:szCs w:val="21"/>
              </w:rPr>
              <w:t>购置费</w:t>
            </w:r>
          </w:p>
        </w:tc>
        <w:tc>
          <w:tcPr>
            <w:tcW w:w="1182" w:type="dxa"/>
            <w:vAlign w:val="center"/>
          </w:tcPr>
          <w:p w14:paraId="16EFFEC1">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4F3DAD3D">
            <w:pPr>
              <w:widowControl/>
              <w:jc w:val="center"/>
              <w:rPr>
                <w:rFonts w:ascii="宋体" w:hAnsi="宋体" w:cs="宋体"/>
                <w:color w:val="000000"/>
                <w:kern w:val="0"/>
                <w:szCs w:val="21"/>
              </w:rPr>
            </w:pPr>
            <w:r>
              <w:rPr>
                <w:rFonts w:hint="eastAsia" w:ascii="宋体" w:hAnsi="宋体" w:cs="宋体"/>
                <w:color w:val="000000"/>
                <w:kern w:val="0"/>
                <w:szCs w:val="21"/>
              </w:rPr>
              <w:t>运行费</w:t>
            </w:r>
          </w:p>
        </w:tc>
        <w:tc>
          <w:tcPr>
            <w:tcW w:w="1182" w:type="dxa"/>
            <w:vMerge w:val="continue"/>
          </w:tcPr>
          <w:p w14:paraId="378A03D5">
            <w:pPr>
              <w:spacing w:line="288" w:lineRule="auto"/>
              <w:rPr>
                <w:rFonts w:ascii="宋体" w:hAnsi="宋体" w:cs="宋体"/>
                <w:color w:val="000000"/>
                <w:szCs w:val="21"/>
              </w:rPr>
            </w:pPr>
          </w:p>
        </w:tc>
        <w:tc>
          <w:tcPr>
            <w:tcW w:w="1182" w:type="dxa"/>
            <w:vMerge w:val="continue"/>
          </w:tcPr>
          <w:p w14:paraId="3FAB0B75">
            <w:pPr>
              <w:spacing w:line="288" w:lineRule="auto"/>
              <w:rPr>
                <w:rFonts w:ascii="宋体" w:hAnsi="宋体" w:cs="宋体"/>
                <w:color w:val="000000"/>
                <w:szCs w:val="21"/>
              </w:rPr>
            </w:pPr>
          </w:p>
        </w:tc>
        <w:tc>
          <w:tcPr>
            <w:tcW w:w="1182" w:type="dxa"/>
            <w:vMerge w:val="continue"/>
          </w:tcPr>
          <w:p w14:paraId="506B417B">
            <w:pPr>
              <w:spacing w:line="288" w:lineRule="auto"/>
              <w:rPr>
                <w:rFonts w:ascii="宋体" w:hAnsi="宋体" w:cs="宋体"/>
                <w:color w:val="000000"/>
                <w:szCs w:val="21"/>
              </w:rPr>
            </w:pPr>
          </w:p>
        </w:tc>
        <w:tc>
          <w:tcPr>
            <w:tcW w:w="1182" w:type="dxa"/>
            <w:vAlign w:val="center"/>
          </w:tcPr>
          <w:p w14:paraId="3D65A925">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1182" w:type="dxa"/>
            <w:vAlign w:val="center"/>
          </w:tcPr>
          <w:p w14:paraId="752F40A2">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28C0640E">
            <w:pPr>
              <w:widowControl/>
              <w:jc w:val="center"/>
              <w:rPr>
                <w:rFonts w:ascii="宋体" w:hAnsi="宋体" w:cs="宋体"/>
                <w:color w:val="000000"/>
                <w:kern w:val="0"/>
                <w:szCs w:val="21"/>
              </w:rPr>
            </w:pPr>
            <w:r>
              <w:rPr>
                <w:rFonts w:hint="eastAsia" w:ascii="宋体" w:hAnsi="宋体" w:cs="宋体"/>
                <w:color w:val="000000"/>
                <w:kern w:val="0"/>
                <w:szCs w:val="21"/>
              </w:rPr>
              <w:t>购置费</w:t>
            </w:r>
          </w:p>
        </w:tc>
        <w:tc>
          <w:tcPr>
            <w:tcW w:w="1182" w:type="dxa"/>
            <w:vAlign w:val="center"/>
          </w:tcPr>
          <w:p w14:paraId="358E9A7F">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605AA13F">
            <w:pPr>
              <w:widowControl/>
              <w:jc w:val="center"/>
              <w:rPr>
                <w:rFonts w:ascii="宋体" w:hAnsi="宋体" w:cs="宋体"/>
                <w:color w:val="000000"/>
                <w:kern w:val="0"/>
                <w:szCs w:val="21"/>
              </w:rPr>
            </w:pPr>
            <w:r>
              <w:rPr>
                <w:rFonts w:hint="eastAsia" w:ascii="宋体" w:hAnsi="宋体" w:cs="宋体"/>
                <w:color w:val="000000"/>
                <w:kern w:val="0"/>
                <w:szCs w:val="21"/>
              </w:rPr>
              <w:t>运行费</w:t>
            </w:r>
          </w:p>
        </w:tc>
        <w:tc>
          <w:tcPr>
            <w:tcW w:w="1171" w:type="dxa"/>
            <w:vMerge w:val="continue"/>
          </w:tcPr>
          <w:p w14:paraId="6AEABCEE">
            <w:pPr>
              <w:spacing w:line="288" w:lineRule="auto"/>
              <w:rPr>
                <w:rFonts w:ascii="宋体" w:hAnsi="宋体" w:cs="宋体"/>
                <w:color w:val="000000"/>
                <w:szCs w:val="21"/>
              </w:rPr>
            </w:pPr>
          </w:p>
        </w:tc>
      </w:tr>
      <w:tr w14:paraId="6B9F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Align w:val="center"/>
          </w:tcPr>
          <w:p w14:paraId="56BBAC5B">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182" w:type="dxa"/>
            <w:vAlign w:val="center"/>
          </w:tcPr>
          <w:p w14:paraId="20D0D655">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182" w:type="dxa"/>
            <w:vAlign w:val="center"/>
          </w:tcPr>
          <w:p w14:paraId="44DB3C35">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182" w:type="dxa"/>
            <w:vAlign w:val="center"/>
          </w:tcPr>
          <w:p w14:paraId="4F8B7F7E">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182" w:type="dxa"/>
            <w:vAlign w:val="center"/>
          </w:tcPr>
          <w:p w14:paraId="30968906">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182" w:type="dxa"/>
            <w:vAlign w:val="center"/>
          </w:tcPr>
          <w:p w14:paraId="7BC3B853">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1182" w:type="dxa"/>
            <w:vAlign w:val="center"/>
          </w:tcPr>
          <w:p w14:paraId="57C54F95">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1182" w:type="dxa"/>
            <w:vAlign w:val="center"/>
          </w:tcPr>
          <w:p w14:paraId="4FCE889B">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1182" w:type="dxa"/>
            <w:vAlign w:val="center"/>
          </w:tcPr>
          <w:p w14:paraId="45145BCB">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1182" w:type="dxa"/>
            <w:vAlign w:val="center"/>
          </w:tcPr>
          <w:p w14:paraId="36FB6CE7">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182" w:type="dxa"/>
            <w:vAlign w:val="center"/>
          </w:tcPr>
          <w:p w14:paraId="4DCCE752">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171" w:type="dxa"/>
            <w:vAlign w:val="center"/>
          </w:tcPr>
          <w:p w14:paraId="77C49A10">
            <w:pPr>
              <w:widowControl/>
              <w:jc w:val="center"/>
              <w:rPr>
                <w:rFonts w:ascii="宋体" w:hAnsi="宋体" w:cs="宋体"/>
                <w:color w:val="000000"/>
                <w:kern w:val="0"/>
                <w:szCs w:val="21"/>
              </w:rPr>
            </w:pPr>
            <w:r>
              <w:rPr>
                <w:rFonts w:hint="eastAsia" w:ascii="宋体" w:hAnsi="宋体" w:cs="宋体"/>
                <w:color w:val="000000"/>
                <w:kern w:val="0"/>
                <w:szCs w:val="21"/>
              </w:rPr>
              <w:t>12</w:t>
            </w:r>
          </w:p>
        </w:tc>
      </w:tr>
      <w:tr w14:paraId="5489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Align w:val="center"/>
          </w:tcPr>
          <w:p w14:paraId="4CD82B4C">
            <w:pPr>
              <w:widowControl/>
              <w:jc w:val="right"/>
              <w:rPr>
                <w:rFonts w:hint="default" w:ascii="宋体" w:hAnsi="宋体" w:cs="宋体"/>
                <w:color w:val="000000"/>
                <w:kern w:val="0"/>
                <w:szCs w:val="21"/>
                <w:lang w:val="en-US"/>
              </w:rPr>
            </w:pPr>
            <w:r>
              <w:rPr>
                <w:rFonts w:hint="default" w:ascii="宋体" w:hAnsi="宋体" w:cs="宋体"/>
                <w:color w:val="000000"/>
                <w:kern w:val="0"/>
                <w:szCs w:val="21"/>
                <w:lang w:val="en-US"/>
              </w:rPr>
              <w:t/>
            </w:r>
            <w:r>
              <w:rPr>
                <w:rFonts w:hint="default" w:ascii="宋体" w:hAnsi="宋体" w:cs="宋体"/>
                <w:color w:val="000000"/>
                <w:kern w:val="0"/>
                <w:szCs w:val="21"/>
                <w:lang w:val="en-US"/>
              </w:rPr>
              <w:t>0.19</w:t>
            </w:r>
          </w:p>
        </w:tc>
        <w:tc>
          <w:tcPr>
            <w:tcW w:w="1182" w:type="dxa"/>
            <w:vAlign w:val="center"/>
          </w:tcPr>
          <w:p w14:paraId="00C23A22">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61291E7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67132287">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0FEF2EC8">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23C5112B">
            <w:pPr>
              <w:widowControl/>
              <w:jc w:val="right"/>
              <w:rPr>
                <w:rFonts w:ascii="宋体" w:hAnsi="宋体" w:cs="宋体"/>
                <w:color w:val="000000"/>
                <w:kern w:val="0"/>
                <w:szCs w:val="21"/>
              </w:rPr>
            </w:pPr>
            <w:r>
              <w:rPr>
                <w:rFonts w:hint="eastAsia" w:ascii="宋体" w:hAnsi="宋体" w:cs="宋体"/>
                <w:color w:val="000000"/>
                <w:kern w:val="0"/>
                <w:szCs w:val="21"/>
              </w:rPr>
              <w:t>0.19</w:t>
            </w:r>
          </w:p>
        </w:tc>
        <w:tc>
          <w:tcPr>
            <w:tcW w:w="1182" w:type="dxa"/>
            <w:vAlign w:val="center"/>
          </w:tcPr>
          <w:p w14:paraId="3C3D741D">
            <w:pPr>
              <w:widowControl/>
              <w:jc w:val="right"/>
              <w:rPr>
                <w:rFonts w:ascii="宋体" w:hAnsi="宋体" w:cs="宋体"/>
                <w:color w:val="000000"/>
                <w:kern w:val="0"/>
                <w:szCs w:val="21"/>
              </w:rPr>
            </w:pPr>
            <w:r>
              <w:rPr>
                <w:rFonts w:hint="eastAsia" w:ascii="宋体" w:hAnsi="宋体" w:cs="宋体"/>
                <w:color w:val="000000"/>
                <w:kern w:val="0"/>
                <w:szCs w:val="21"/>
              </w:rPr>
              <w:t>0.16</w:t>
            </w:r>
          </w:p>
        </w:tc>
        <w:tc>
          <w:tcPr>
            <w:tcW w:w="1182" w:type="dxa"/>
            <w:vAlign w:val="center"/>
          </w:tcPr>
          <w:p w14:paraId="4A073681">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282C5BE8">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24501A46">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12BACA23">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71" w:type="dxa"/>
            <w:vAlign w:val="center"/>
          </w:tcPr>
          <w:p w14:paraId="12AFDC25">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0.16</w:t>
            </w:r>
            <w:r>
              <w:rPr>
                <w:rFonts w:hint="eastAsia" w:ascii="宋体" w:hAnsi="宋体" w:eastAsia="宋体" w:cs="宋体"/>
                <w:color w:val="000000"/>
                <w:kern w:val="0"/>
                <w:szCs w:val="21"/>
                <w:lang w:eastAsia="zh-CN"/>
              </w:rPr>
              <w:t/>
            </w:r>
          </w:p>
        </w:tc>
      </w:tr>
    </w:tbl>
    <w:p w14:paraId="4434134D">
      <w:pPr>
        <w:rPr>
          <w:rFonts w:hint="eastAsia"/>
          <w:color w:val="000000"/>
        </w:rPr>
      </w:pPr>
    </w:p>
    <w:p w14:paraId="2EAB5B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rPr>
      </w:pPr>
      <w:r>
        <w:rPr>
          <w:rFonts w:hint="eastAsia"/>
          <w:color w:val="000000"/>
        </w:rPr>
        <w:t>注： 本表反映部门</w:t>
      </w:r>
      <w:r>
        <w:rPr>
          <w:rFonts w:hint="eastAsia"/>
          <w:color w:val="000000"/>
          <w:lang w:val="en-US" w:eastAsia="zh-CN"/>
        </w:rPr>
        <w:t>2024</w:t>
      </w:r>
      <w:r>
        <w:rPr>
          <w:rFonts w:hint="eastAsia"/>
          <w:color w:val="000000"/>
        </w:rPr>
        <w:t>年度财政拨款“三公”经费支出预决算情况。其中，预算数为“三公”经费全年预算数，反映按规定程序调整后的预算数；决算数是包括当年财政拨款和以前年度结转资金安排的实际支出。</w:t>
      </w:r>
    </w:p>
    <w:p w14:paraId="5A34ED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color w:val="000000"/>
          <w:lang w:eastAsia="zh-CN"/>
        </w:rPr>
        <w:sectPr>
          <w:pgSz w:w="16838" w:h="11906" w:orient="landscape"/>
          <w:pgMar w:top="1800" w:right="1440" w:bottom="1800" w:left="1440" w:header="851" w:footer="992" w:gutter="0"/>
          <w:cols w:space="720" w:num="1"/>
          <w:docGrid w:type="lines" w:linePitch="312" w:charSpace="0"/>
        </w:sectPr>
      </w:pPr>
      <w:r>
        <w:rPr>
          <w:rFonts w:hint="eastAsia"/>
          <w:color w:val="000000"/>
        </w:rPr>
        <w:t/>
      </w:r>
    </w:p>
    <w:p w14:paraId="2427BA30">
      <w:pPr>
        <w:spacing w:line="560" w:lineRule="exact"/>
        <w:outlineLvl w:val="0"/>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百色市信访局</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年度部门决算情况说明</w:t>
      </w:r>
    </w:p>
    <w:p w14:paraId="45F0961C">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s="仿宋_GB2312"/>
          <w:kern w:val="0"/>
          <w:sz w:val="32"/>
          <w:szCs w:val="32"/>
        </w:rPr>
        <w:t>年度收入支出决算总体情况</w:t>
      </w:r>
    </w:p>
    <w:p w14:paraId="665918A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cs="仿宋_GB2312"/>
          <w:kern w:val="0"/>
          <w:sz w:val="32"/>
          <w:szCs w:val="32"/>
        </w:rPr>
        <w:t/>
      </w:r>
      <w:r>
        <w:rPr>
          <w:rFonts w:hint="eastAsia" w:ascii="仿宋_GB2312" w:eastAsia="仿宋_GB2312" w:cs="仿宋_GB2312"/>
          <w:kern w:val="0"/>
          <w:sz w:val="32"/>
          <w:szCs w:val="32"/>
        </w:rPr>
        <w:t>本部门</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年度总收入</w:t>
      </w:r>
      <w:r>
        <w:rPr>
          <w:rFonts w:hint="eastAsia" w:ascii="仿宋_GB2312" w:eastAsia="仿宋_GB2312"/>
          <w:color w:val="000000" w:themeColor="text1"/>
          <w:kern w:val="0"/>
          <w:sz w:val="32"/>
          <w:szCs w:val="32"/>
          <w:u w:val="none"/>
          <w:lang w:val="en-US" w:eastAsia="zh-CN"/>
          <w14:textFill>
            <w14:solidFill>
              <w14:schemeClr w14:val="tx1"/>
            </w14:solidFill>
          </w14:textFill>
        </w:rPr>
        <w:t>1,032.92</w:t>
      </w:r>
      <w:r>
        <w:rPr>
          <w:rFonts w:hint="eastAsia" w:ascii="仿宋_GB2312" w:eastAsia="仿宋_GB2312" w:cs="仿宋_GB2312"/>
          <w:kern w:val="0"/>
          <w:sz w:val="32"/>
          <w:szCs w:val="32"/>
        </w:rPr>
        <w:t>万元，其中本年收入</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1,032.92</w:t>
      </w:r>
      <w:r>
        <w:rPr>
          <w:rFonts w:hint="eastAsia" w:ascii="仿宋_GB2312" w:eastAsia="仿宋_GB2312" w:cs="仿宋_GB2312"/>
          <w:kern w:val="0"/>
          <w:sz w:val="32"/>
          <w:szCs w:val="32"/>
        </w:rPr>
        <w:t>万元,</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较2023年度决算数1,167.68万元，减少134.76万元，下降11.5%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r>
        <w:rPr>
          <w:rFonts w:hint="eastAsia" w:ascii="仿宋_GB2312" w:eastAsia="仿宋_GB2312" w:cs="仿宋_GB2312"/>
          <w:kern w:val="0"/>
          <w:sz w:val="32"/>
          <w:szCs w:val="32"/>
          <w:lang w:val="en-US" w:eastAsia="zh-CN"/>
        </w:rPr>
        <w:t xml:space="preserve"> ：</w:t>
      </w:r>
      <w:r>
        <w:rPr>
          <w:rFonts w:hint="eastAsia" w:ascii="仿宋_GB2312" w:eastAsia="仿宋_GB2312"/>
          <w:bCs/>
          <w:kern w:val="0"/>
          <w:sz w:val="32"/>
          <w:szCs w:val="32"/>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1.一般公共预算财政拨款收入1,032.92万元，为百色市本级财政当年拨付的资金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较2023年度决算数1,167.68万元，减少134.76万元，下降11.5%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2024年度上级部门根据本单位工作任务，对部分项目的财政拨款预算进行压减。</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2.政府性基金预算财政拨款收入0万元，为百色市本级财政当年拨付的资金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3.国有资本经营预算财政拨款收入0万元，为百色市本级财政当年拨付的资金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4.上级补助收入0万元，为事业单位当年从主管部门和上级单位收到或应收的非财政拨款收入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5.事业收入0万元，为事业单位开展业务活动取得的收入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6.经营收入0万元，为事业单位在业务活动之外开展非独立核算经营活动取得的收入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7.附属单位上缴收入0万元，为事业单位取得的附属独立核算单位按照有关规定上缴的收入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8.其他收入0万元，为预算单位在“财政拨款收入”“事业收入”“经营收入”之外取得的收入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9.使用非财政拨款结余（含专用结余）0万元，主要是所属事业单位在当年的“财政拨款收入”“事业收入”“经营收入”及“其他收入”不能保证其支出的情况下，使用以前年度积累的非财政拨款结余、专用结余弥补本年度收支缺口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10.上年结转和结余0万元，为以前年度支出预算因客观条件变化未执行完毕、结转到本年度按有关规定继续使用的资金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较2023年度决算数207.11万元，减少207.11万元，下降100%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在本年度已按规定全部执行完毕，无剩余资金结转至后续年度，因此本年度上年结转和结余为0万元。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766AE60F">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（二）本部门</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年度总支出</w:t>
      </w:r>
      <w:r>
        <w:rPr>
          <w:rFonts w:hint="eastAsia" w:ascii="仿宋_GB2312" w:eastAsia="仿宋_GB2312"/>
          <w:color w:val="000000" w:themeColor="text1"/>
          <w:kern w:val="0"/>
          <w:sz w:val="32"/>
          <w:szCs w:val="32"/>
          <w:u w:val="none"/>
          <w:lang w:val="en-US" w:eastAsia="zh-CN"/>
          <w14:textFill>
            <w14:solidFill>
              <w14:schemeClr w14:val="tx1"/>
            </w14:solidFill>
          </w14:textFill>
        </w:rPr>
        <w:t>1,032.92</w:t>
      </w:r>
      <w:r>
        <w:rPr>
          <w:rFonts w:hint="eastAsia" w:ascii="仿宋_GB2312" w:eastAsia="仿宋_GB2312" w:cs="仿宋_GB2312"/>
          <w:kern w:val="0"/>
          <w:sz w:val="32"/>
          <w:szCs w:val="32"/>
        </w:rPr>
        <w:t>万元，其中本年支出</w:t>
      </w:r>
      <w:r>
        <w:rPr>
          <w:rFonts w:hint="eastAsia" w:ascii="仿宋_GB2312" w:eastAsia="仿宋_GB2312"/>
          <w:color w:val="000000" w:themeColor="text1"/>
          <w:kern w:val="0"/>
          <w:sz w:val="32"/>
          <w:szCs w:val="32"/>
          <w:u w:val="none"/>
          <w:lang w:val="en-US" w:eastAsia="zh-CN"/>
          <w14:textFill>
            <w14:solidFill>
              <w14:schemeClr w14:val="tx1"/>
            </w14:solidFill>
          </w14:textFill>
        </w:rPr>
        <w:t>1,032.92</w:t>
      </w:r>
      <w:r>
        <w:rPr>
          <w:rFonts w:hint="eastAsia" w:ascii="仿宋_GB2312" w:eastAsia="仿宋_GB2312" w:cs="仿宋_GB2312"/>
          <w:kern w:val="0"/>
          <w:sz w:val="32"/>
          <w:szCs w:val="32"/>
        </w:rPr>
        <w:t>万元,</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较2023年度决算数1,167.68万元，减少134.76万元，下降11.5%</w:t>
      </w:r>
      <w:r>
        <w:rPr>
          <w:rFonts w:hint="eastAsia" w:ascii="仿宋_GB2312" w:hAnsi="黑体" w:eastAsia="仿宋_GB2312" w:cs="仿宋_GB2312"/>
          <w:kern w:val="0"/>
          <w:sz w:val="32"/>
          <w:szCs w:val="32"/>
          <w:u w:val="none"/>
        </w:rPr>
        <w:t>。</w:t>
      </w:r>
      <w:r>
        <w:rPr>
          <w:rFonts w:hint="eastAsia" w:ascii="仿宋_GB2312" w:eastAsia="仿宋_GB2312" w:cs="仿宋_GB2312"/>
          <w:kern w:val="0"/>
          <w:sz w:val="32"/>
          <w:szCs w:val="32"/>
          <w:u w:val="none"/>
        </w:rPr>
        <w:t>支出</w:t>
      </w:r>
      <w:r>
        <w:rPr>
          <w:rFonts w:hint="eastAsia" w:ascii="仿宋_GB2312" w:eastAsia="仿宋_GB2312" w:cs="仿宋_GB2312"/>
          <w:kern w:val="0"/>
          <w:sz w:val="32"/>
          <w:szCs w:val="32"/>
        </w:rPr>
        <w:t>具体情况如下：</w:t>
      </w:r>
      <w:r>
        <w:rPr>
          <w:rFonts w:hint="eastAsia" w:ascii="仿宋_GB2312" w:eastAsia="仿宋_GB2312" w:cs="仿宋_GB2312"/>
          <w:color w:val="000000"/>
          <w:kern w:val="0"/>
          <w:sz w:val="32"/>
          <w:szCs w:val="32"/>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1.一般公共服务支出892.38万元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，主要用于单位日常运转（如办公费、水电费、物业费）、人员经费（工资福利、津贴补贴）、专项业务开展（会议培训）及办公设备购置维护等一般公共服务相关支出</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，较2023年度决算数1,075.75万元，减少183.37万元，下降17%，主要原因是： 2024年严格执行过紧日子要求，压缩非必要支出，如减少低效会议培训、控制办公耗材采购量、降低公务接待标准，日常运转类支出同比大幅减少。</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2.外交支出0万元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3.国防支出0万元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4.公共安全支出0万元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5.教育支出0万元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6.科学技术支出0万元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7.文化旅游体育与传媒支出0万元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8.社会保障和就业支出94.43万元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，主要用于单位退休人员经费和单位在职职工养老保险缴费等方面</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，较2023年度决算数45.71万元，增加48.72万元，增长106.6%，主要原因是：单位退休人员养老金标准上调、在职职工养老保险缴费基数下限提高。</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9.卫生健康支出16.66万元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，主要用于在职职工基本医疗保险缴费、公务员医疗补助缴费等卫生健康相关支出</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，较2023年度决算数15.95万元，增加0.71万元，增长4.5%，主要原因是：缴费基数调整，2024年当地基本医疗保险、公务员医疗补助缴费基数随在职职工工资标准正常上调。</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10.节能环保支出0万元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11.城乡社区支出0万元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12.农林水支出0万元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13.交通运输支出0万元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14.资源勘探工业信息等支出0万元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15.商业服务业等支出0万元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16.金融支出0万元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17.援助其他地区支出0万元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18.自然资源海洋气象等支出0万元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19.住房保障支出29.45万元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，主要用于单位在职职工住房公积金单位缴纳部分</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，较2023年度决算数30.27万元，减少0.82万元，下降2.7%，主要原因是：由于人员的变动及政策执行微调，2024年当地住房公积金缴存比例未上调，且住房补贴发放标准按政策保持稳定，支出规模较2023年常规化回落。</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20.粮油物资储备支出0万元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21.国有资本经营预算支出0万元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22.灾害防治及应急管理支出0万元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23.其他支出0万元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24.债务还本支出0万元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25.债务付息支出0万元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26.抗疫特别国债安排的支出0万元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27.结余分配0万元，为事业单位按规定提取的专用结余、缴纳所得税和转入非财政拨款结余等</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28.年末结转和结余0万元，为本年度或以前年度预算安排、因客观条件发生变化无法按原计划实施，需要延迟到以后年度按有关规定继续使用的资金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，较2023年度决算数207.11万元，减少207.11万元，下降100%，主要原因是：在本年度已按规定全部执行完毕，无剩余资金结转至后续年度，因此本年度上年结转和结余为0万元。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5D5E77CA">
      <w:pPr>
        <w:autoSpaceDE w:val="0"/>
        <w:autoSpaceDN w:val="0"/>
        <w:adjustRightInd w:val="0"/>
        <w:spacing w:line="560" w:lineRule="exact"/>
        <w:jc w:val="left"/>
        <w:rPr>
          <w:rFonts w:hint="eastAsia" w:ascii="仿宋_GB2312" w:hAnsi="黑体" w:eastAsia="仿宋_GB2312" w:cs="仿宋_GB2312"/>
          <w:kern w:val="0"/>
          <w:sz w:val="32"/>
          <w:szCs w:val="32"/>
          <w:lang w:eastAsia="zh-CN"/>
        </w:rPr>
      </w:pPr>
      <w:r>
        <w:rPr>
          <w:rFonts w:hint="eastAsia" w:ascii="仿宋_GB2312" w:eastAsia="仿宋_GB2312" w:cs="仿宋_GB2312"/>
          <w:color w:val="000000"/>
          <w:kern w:val="0"/>
          <w:sz w:val="32"/>
          <w:szCs w:val="32"/>
        </w:rPr>
        <w:t/>
      </w:r>
    </w:p>
    <w:p w14:paraId="03C5C4E0">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w:t>
      </w:r>
      <w:r>
        <w:rPr>
          <w:rFonts w:hint="eastAsia" w:ascii="黑体" w:hAnsi="黑体" w:eastAsia="黑体" w:cs="仿宋_GB2312"/>
          <w:kern w:val="0"/>
          <w:sz w:val="32"/>
          <w:szCs w:val="32"/>
          <w:lang w:val="en-US" w:eastAsia="zh-CN"/>
        </w:rPr>
        <w:t>财政拨款</w:t>
      </w:r>
      <w:r>
        <w:rPr>
          <w:rFonts w:hint="eastAsia" w:ascii="黑体" w:hAnsi="黑体" w:eastAsia="黑体" w:cs="仿宋_GB2312"/>
          <w:kern w:val="0"/>
          <w:sz w:val="32"/>
          <w:szCs w:val="32"/>
        </w:rPr>
        <w:t>支出决算情况</w:t>
      </w:r>
    </w:p>
    <w:p w14:paraId="185A6CEB">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百色市信访局2024</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公共预算财政拨款支出</w:t>
      </w:r>
      <w:r>
        <w:rPr>
          <w:rFonts w:hint="eastAsia" w:ascii="仿宋_GB2312" w:eastAsia="仿宋_GB2312"/>
          <w:color w:val="000000" w:themeColor="text1"/>
          <w:kern w:val="0"/>
          <w:sz w:val="32"/>
          <w:szCs w:val="32"/>
          <w:u w:val="none"/>
          <w:lang w:val="en-US" w:eastAsia="zh-CN"/>
          <w14:textFill>
            <w14:solidFill>
              <w14:schemeClr w14:val="tx1"/>
            </w14:solidFill>
          </w14:textFill>
        </w:rPr>
        <w:t>1,032.92</w:t>
      </w:r>
      <w:r>
        <w:rPr>
          <w:rFonts w:hint="eastAsia" w:ascii="仿宋_GB2312" w:eastAsia="仿宋_GB2312" w:cs="仿宋_GB2312"/>
          <w:kern w:val="0"/>
          <w:sz w:val="32"/>
          <w:szCs w:val="32"/>
          <w:u w:val="none"/>
        </w:rPr>
        <w:t>万元</w:t>
      </w:r>
      <w:r>
        <w:rPr>
          <w:rFonts w:hint="eastAsia" w:ascii="仿宋_GB2312" w:eastAsia="仿宋_GB2312" w:cs="仿宋_GB2312"/>
          <w:kern w:val="0"/>
          <w:sz w:val="32"/>
          <w:szCs w:val="32"/>
          <w:u w:val="none"/>
        </w:rPr>
        <w:t/>
      </w:r>
      <w:r>
        <w:rPr>
          <w:rFonts w:hint="eastAsia" w:ascii="仿宋_GB2312" w:eastAsia="仿宋_GB2312" w:cs="仿宋_GB2312"/>
          <w:kern w:val="0"/>
          <w:sz w:val="32"/>
          <w:szCs w:val="32"/>
          <w:u w:val="none"/>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较2023年度决算数1,167.68万元，减少134.76万元，下降11.5%</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其中：基本支出</w:t>
      </w:r>
      <w:r>
        <w:rPr>
          <w:rFonts w:hint="eastAsia" w:ascii="仿宋_GB2312" w:eastAsia="仿宋_GB2312"/>
          <w:color w:val="000000" w:themeColor="text1"/>
          <w:kern w:val="0"/>
          <w:sz w:val="32"/>
          <w:szCs w:val="32"/>
          <w:u w:val="none"/>
          <w14:textFill>
            <w14:solidFill>
              <w14:schemeClr w14:val="tx1"/>
            </w14:solidFill>
          </w14:textFill>
        </w:rPr>
        <w:t>460.39</w:t>
      </w:r>
      <w:r>
        <w:rPr>
          <w:rFonts w:hint="eastAsia" w:ascii="仿宋_GB2312" w:eastAsia="仿宋_GB2312" w:cs="仿宋_GB2312"/>
          <w:kern w:val="0"/>
          <w:sz w:val="32"/>
          <w:szCs w:val="32"/>
          <w:u w:val="none"/>
        </w:rPr>
        <w:t>万元，项目支出</w:t>
      </w:r>
      <w:r>
        <w:rPr>
          <w:rFonts w:hint="eastAsia" w:ascii="仿宋_GB2312" w:eastAsia="仿宋_GB2312"/>
          <w:color w:val="000000" w:themeColor="text1"/>
          <w:kern w:val="0"/>
          <w:sz w:val="32"/>
          <w:szCs w:val="32"/>
          <w:u w:val="none"/>
          <w14:textFill>
            <w14:solidFill>
              <w14:schemeClr w14:val="tx1"/>
            </w14:solidFill>
          </w14:textFill>
        </w:rPr>
        <w:t>572.52</w:t>
      </w:r>
      <w:r>
        <w:rPr>
          <w:rFonts w:hint="eastAsia" w:ascii="仿宋_GB2312" w:eastAsia="仿宋_GB2312" w:cs="仿宋_GB2312"/>
          <w:color w:val="000000" w:themeColor="text1"/>
          <w:kern w:val="0"/>
          <w:sz w:val="32"/>
          <w:szCs w:val="32"/>
          <w:u w:val="none"/>
          <w14:textFill>
            <w14:solidFill>
              <w14:schemeClr w14:val="tx1"/>
            </w14:solidFill>
          </w14:textFill>
        </w:rPr>
        <w:t>万元。</w:t>
      </w:r>
    </w:p>
    <w:p w14:paraId="7678883B">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百色市信访局2024</w:t>
      </w:r>
      <w:r>
        <w:rPr>
          <w:rFonts w:hint="eastAsia" w:ascii="仿宋_GB2312" w:hAnsi="黑体" w:eastAsia="仿宋_GB2312" w:cs="仿宋_GB2312"/>
          <w:color w:val="000000" w:themeColor="text1"/>
          <w:kern w:val="0"/>
          <w:sz w:val="32"/>
          <w:szCs w:val="32"/>
          <w:u w:val="none"/>
          <w14:textFill>
            <w14:solidFill>
              <w14:schemeClr w14:val="tx1"/>
            </w14:solidFill>
          </w14:textFill>
        </w:rPr>
        <w:t>年度</w:t>
      </w:r>
      <w:r>
        <w:rPr>
          <w:rFonts w:hint="eastAsia" w:ascii="仿宋_GB2312" w:hAnsi="黑体" w:eastAsia="仿宋_GB2312"/>
          <w:color w:val="000000" w:themeColor="text1"/>
          <w:sz w:val="32"/>
          <w:szCs w:val="32"/>
          <w:u w:val="none"/>
          <w14:textFill>
            <w14:solidFill>
              <w14:schemeClr w14:val="tx1"/>
            </w14:solidFill>
          </w14:textFill>
        </w:rPr>
        <w:t>一般</w:t>
      </w:r>
      <w:r>
        <w:rPr>
          <w:rFonts w:hint="eastAsia" w:ascii="仿宋_GB2312" w:hAnsi="黑体" w:eastAsia="仿宋_GB2312" w:cs="仿宋_GB2312"/>
          <w:color w:val="000000" w:themeColor="text1"/>
          <w:kern w:val="0"/>
          <w:sz w:val="32"/>
          <w:szCs w:val="32"/>
          <w:u w:val="none"/>
          <w14:textFill>
            <w14:solidFill>
              <w14:schemeClr w14:val="tx1"/>
            </w14:solidFill>
          </w14:textFill>
        </w:rPr>
        <w:t>公共预算财政拨款支出年初预算为</w:t>
      </w:r>
      <w:r>
        <w:rPr>
          <w:rFonts w:hint="eastAsia" w:ascii="仿宋_GB2312" w:eastAsia="仿宋_GB2312"/>
          <w:color w:val="000000" w:themeColor="text1"/>
          <w:kern w:val="0"/>
          <w:sz w:val="32"/>
          <w:szCs w:val="32"/>
          <w:u w:val="none"/>
          <w14:textFill>
            <w14:solidFill>
              <w14:schemeClr w14:val="tx1"/>
            </w14:solidFill>
          </w14:textFill>
        </w:rPr>
        <w:t>584.98</w:t>
      </w:r>
      <w:r>
        <w:rPr>
          <w:rFonts w:hint="eastAsia" w:ascii="仿宋_GB2312" w:hAnsi="黑体" w:eastAsia="仿宋_GB2312" w:cs="仿宋_GB2312"/>
          <w:color w:val="000000" w:themeColor="text1"/>
          <w:kern w:val="0"/>
          <w:sz w:val="32"/>
          <w:szCs w:val="32"/>
          <w:u w:val="none"/>
          <w14:textFill>
            <w14:solidFill>
              <w14:schemeClr w14:val="tx1"/>
            </w14:solidFill>
          </w14:textFill>
        </w:rPr>
        <w:t>万元，支出决算为</w:t>
      </w:r>
      <w:r>
        <w:rPr>
          <w:rFonts w:hint="eastAsia" w:ascii="仿宋_GB2312" w:eastAsia="仿宋_GB2312"/>
          <w:color w:val="000000" w:themeColor="text1"/>
          <w:kern w:val="0"/>
          <w:sz w:val="32"/>
          <w:szCs w:val="32"/>
          <w:u w:val="none"/>
          <w14:textFill>
            <w14:solidFill>
              <w14:schemeClr w14:val="tx1"/>
            </w14:solidFill>
          </w14:textFill>
        </w:rPr>
        <w:t>1,032.92</w:t>
      </w:r>
      <w:r>
        <w:rPr>
          <w:rFonts w:hint="eastAsia" w:ascii="仿宋_GB2312" w:hAnsi="黑体" w:eastAsia="仿宋_GB2312" w:cs="仿宋_GB2312"/>
          <w:color w:val="000000" w:themeColor="text1"/>
          <w:kern w:val="0"/>
          <w:sz w:val="32"/>
          <w:szCs w:val="32"/>
          <w:u w:val="none"/>
          <w14:textFill>
            <w14:solidFill>
              <w14:schemeClr w14:val="tx1"/>
            </w14:solidFill>
          </w14:textFill>
        </w:rPr>
        <w:t>万元，完成年初预算的</w:t>
      </w:r>
      <w:r>
        <w:rPr>
          <w:rFonts w:hint="eastAsia" w:ascii="仿宋_GB2312" w:eastAsia="仿宋_GB2312"/>
          <w:color w:val="000000" w:themeColor="text1"/>
          <w:kern w:val="0"/>
          <w:sz w:val="32"/>
          <w:szCs w:val="32"/>
          <w:u w:val="none"/>
          <w14:textFill>
            <w14:solidFill>
              <w14:schemeClr w14:val="tx1"/>
            </w14:solidFill>
          </w14:textFill>
        </w:rPr>
        <w:t>176.6</w:t>
      </w:r>
      <w:r>
        <w:rPr>
          <w:rFonts w:hint="eastAsia" w:ascii="仿宋_GB2312" w:hAnsi="黑体" w:eastAsia="仿宋_GB2312" w:cs="仿宋_GB2312"/>
          <w:kern w:val="0"/>
          <w:sz w:val="32"/>
          <w:szCs w:val="32"/>
          <w:u w:val="none"/>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（一）一般公共服务支出（类）年初预算为450.66万元，决算数为892.38万元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一般公共服务支出（类）政府办公厅（室）及相关机构事务（款）行政运行（项）年初预算为203.96万元，决算数为208.16万元，完成年初预算的102.1%</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在职人员工资福利支出（如基本工资、津贴补贴、奖金）、日常公用支出（如办公费、水电费、物业费），以及保障机构正常行政运转所需的其他经常性支出</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年度内人员职级晋升，导致工资福利支出超出年初预算</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w:t>
      </w:r>
      <w:r>
        <w:rPr>
          <w:rFonts w:hint="eastAsia" w:ascii="仿宋_GB2312" w:eastAsia="仿宋_GB2312"/>
          <w:color w:val="000000" w:themeColor="text1"/>
          <w:kern w:val="0"/>
          <w:sz w:val="32"/>
          <w:szCs w:val="32"/>
          <w:u w:val="none"/>
          <w:lang w:val="en-US" w:eastAsia="zh-CN"/>
          <w14:textFill>
            <w14:solidFill>
              <w14:schemeClr w14:val="tx1"/>
            </w14:solidFill>
          </w14:textFill>
        </w:rPr>
        <w:t>. 一般公共服务支出（类）政府办公厅（室）及相关机构事务（款）事业运行（项）年初预算为106.22万元，决算数为114.07万元，完成年初预算的107.4%</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单位在职人员的工资福利支出（基本工资、绩效工资、津贴补贴）、日常公用支出（办公费、水电费、设备维护费）等职能所需的经常性支出</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年度内人员晋薪级，导致工资福利支出超出年初预算</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3</w:t>
      </w:r>
      <w:r>
        <w:rPr>
          <w:rFonts w:hint="eastAsia" w:ascii="仿宋_GB2312" w:eastAsia="仿宋_GB2312"/>
          <w:color w:val="000000" w:themeColor="text1"/>
          <w:kern w:val="0"/>
          <w:sz w:val="32"/>
          <w:szCs w:val="32"/>
          <w:u w:val="none"/>
          <w:lang w:val="en-US" w:eastAsia="zh-CN"/>
          <w14:textFill>
            <w14:solidFill>
              <w14:schemeClr w14:val="tx1"/>
            </w14:solidFill>
          </w14:textFill>
        </w:rPr>
        <w:t>. 一般公共服务支出（类）其他共产党事务支出（款）其他共产党事务支出（项）年初预算为0.7万元，决算数为0.70万元，完成年初预算的100%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党组织开展专项学习教育（如主题党日活动、政策理论培训）、党员日常管理事务相关的开支</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4</w:t>
      </w:r>
      <w:r>
        <w:rPr>
          <w:rFonts w:hint="eastAsia" w:ascii="仿宋_GB2312" w:eastAsia="仿宋_GB2312"/>
          <w:color w:val="000000" w:themeColor="text1"/>
          <w:kern w:val="0"/>
          <w:sz w:val="32"/>
          <w:szCs w:val="32"/>
          <w:u w:val="none"/>
          <w:lang w:val="en-US" w:eastAsia="zh-CN"/>
          <w14:textFill>
            <w14:solidFill>
              <w14:schemeClr w14:val="tx1"/>
            </w14:solidFill>
          </w14:textFill>
        </w:rPr>
        <w:t>. 一般公共服务支出（类）信访事务（款）一般行政管理事务（项）年初预算为0万元，决算数为9.51万元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年度内开展信访专项工作的支出，包括信访积案化解专项调研经费、信访政策宣传资料印制费、以及处理突发信访事件所需的临时劳务和交通补助等，保障信访事务高效推进的专项性开支</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年初预算编制时，未预计到年度内新增信访专项工作任务；此类任务在年度中突发且必须推进，需通过追加经费的方式保障实施，导致决算数产生并大于年初0万元的预算数</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5</w:t>
      </w:r>
      <w:r>
        <w:rPr>
          <w:rFonts w:hint="eastAsia" w:ascii="仿宋_GB2312" w:eastAsia="仿宋_GB2312"/>
          <w:color w:val="000000" w:themeColor="text1"/>
          <w:kern w:val="0"/>
          <w:sz w:val="32"/>
          <w:szCs w:val="32"/>
          <w:u w:val="none"/>
          <w:lang w:val="en-US" w:eastAsia="zh-CN"/>
          <w14:textFill>
            <w14:solidFill>
              <w14:schemeClr w14:val="tx1"/>
            </w14:solidFill>
          </w14:textFill>
        </w:rPr>
        <w:t>. 一般公共服务支出（类）信访事务（款）信访业务（项）年初预算为120.78万元，决算数为419.23万元，完成年初预算的347.1%</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年度内开展信访专项工作的支出，包括信访积案化解专项调研经费、信访政策宣传资料印制费、以及处理突发信访事件所需的临时劳务和交通补助等，保障信访事务高效推进的专项性开支</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年初预算编制时，未预计到年度内新增信访专项工作任务；此类任务在年度中突发且必须推进，需通过追加经费的方式保障实施</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6</w:t>
      </w:r>
      <w:r>
        <w:rPr>
          <w:rFonts w:hint="eastAsia" w:ascii="仿宋_GB2312" w:eastAsia="仿宋_GB2312"/>
          <w:color w:val="000000" w:themeColor="text1"/>
          <w:kern w:val="0"/>
          <w:sz w:val="32"/>
          <w:szCs w:val="32"/>
          <w:u w:val="none"/>
          <w:lang w:val="en-US" w:eastAsia="zh-CN"/>
          <w14:textFill>
            <w14:solidFill>
              <w14:schemeClr w14:val="tx1"/>
            </w14:solidFill>
          </w14:textFill>
        </w:rPr>
        <w:t>. 一般公共服务支出（类）信访事务（款）其他信访事务支出（项）年初预算为19万元，决算数为140.70万元，完成年初预算的740.5%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年度内开展信访专项工作的支出，包括信访积案化解专项调研经费、信访政策宣传资料印制费、以及处理突发信访事件所需的临时劳务和交通补助等，保障信访事务高效推进的专项性开支</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年初预算编制时，未预计到年度内新增信访专项工作任务；此类任务在年度中突发且必须推进，需通过追加经费的方式保障实施</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（二）外交支出（类）年初预算为0万元，决算数为0万元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（三）国防支出（类）年初预算为0万元，决算数为0万元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（四）公共安全支出（类）年初预算为0万元，决算数为0万元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（五）教育支出（类）年初预算为0万元，决算数为0万元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（六）科学技术支出（类）年初预算为0万元，决算数为0万元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（七）文化旅游体育与传媒支出（类）年初预算为0万元，决算数为0万元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（八）社会保障和就业支出（类）年初预算为84.27万元，决算数为94.43万元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社会保障和就业支出（类）行政事业单位养老支出（款）行政单位离退休（项）年初预算为5.15万元，决算数为5.93万元，完成年初预算的115.1%</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 支付本单位行政离退休人员的离退休金、生活补贴、医疗补贴等各项离退休待遇，以及为保障离退休人员正常生活发生的其他必要支出</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年初预算编制时，未完全预计到部分离退休人员因补贴标准上调，导致离退休待遇支出超出初始测算金额</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w:t>
      </w:r>
      <w:r>
        <w:rPr>
          <w:rFonts w:hint="eastAsia" w:ascii="仿宋_GB2312" w:eastAsia="仿宋_GB2312"/>
          <w:color w:val="000000" w:themeColor="text1"/>
          <w:kern w:val="0"/>
          <w:sz w:val="32"/>
          <w:szCs w:val="32"/>
          <w:u w:val="none"/>
          <w:lang w:val="en-US" w:eastAsia="zh-CN"/>
          <w14:textFill>
            <w14:solidFill>
              <w14:schemeClr w14:val="tx1"/>
            </w14:solidFill>
          </w14:textFill>
        </w:rPr>
        <w:t>. 社会保障和就业支出（类）行政事业单位养老支出（款）机关事业单位基本养老保险缴费支出（项）年初预算为52.75万元，决算数为48.88万元，完成年初预算的92.7%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按照国家及地方机关事业单位基本养老保险政策规定，为单位在职职工缴纳应由单位承担部分的基本养老保险费</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小于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年初预算编制时按上年度职工工资总额及预测增幅测算缴费基数，实际年度内职工工资增幅低于预期，且部分职工因绩效考核奖减少，使得实际缴费基数低于预算数，缴费金额相应减少</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3</w:t>
      </w:r>
      <w:r>
        <w:rPr>
          <w:rFonts w:hint="eastAsia" w:ascii="仿宋_GB2312" w:eastAsia="仿宋_GB2312"/>
          <w:color w:val="000000" w:themeColor="text1"/>
          <w:kern w:val="0"/>
          <w:sz w:val="32"/>
          <w:szCs w:val="32"/>
          <w:u w:val="none"/>
          <w:lang w:val="en-US" w:eastAsia="zh-CN"/>
          <w14:textFill>
            <w14:solidFill>
              <w14:schemeClr w14:val="tx1"/>
            </w14:solidFill>
          </w14:textFill>
        </w:rPr>
        <w:t>. 社会保障和就业支出（类）行政事业单位养老支出（款）机关事业单位职业年金缴费支出（项）年初预算为26.37万元，决算数为37.24万元，完成年初预算的141.2%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依据国家机关事业单位职业年金政策，为单位在职职工缴纳应由单位承担部分的职业年金费用，作为基本养老保险的补充，保障职工退休后的养老待遇水平</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年初预算按上年度职工工资水平测算缴费基数，年度内职工因职务晋升、职级上调，使实际缴费基数显著高于预算核定基数，单位承担的缴费金额相应增加</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4</w:t>
      </w:r>
      <w:r>
        <w:rPr>
          <w:rFonts w:hint="eastAsia" w:ascii="仿宋_GB2312" w:eastAsia="仿宋_GB2312"/>
          <w:color w:val="000000" w:themeColor="text1"/>
          <w:kern w:val="0"/>
          <w:sz w:val="32"/>
          <w:szCs w:val="32"/>
          <w:u w:val="none"/>
          <w:lang w:val="en-US" w:eastAsia="zh-CN"/>
          <w14:textFill>
            <w14:solidFill>
              <w14:schemeClr w14:val="tx1"/>
            </w14:solidFill>
          </w14:textFill>
        </w:rPr>
        <w:t>. 社会保障和就业支出（类）其他社会保障和就业支出（款）其他社会保障和就业支出（项）年初预算为0万元，决算数为2.38万元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用于支付单位职工的失业保险费、工伤保险费等其他社会保障相关支出</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年初预算编制时，未将失业保险费、工伤保险费等常规性其他社保支出纳入计划，因此产生了预算外的社保缴费支出</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（九）卫生健康支出（类）年初预算为18.10万元，决算数为16.66万元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卫生健康支出（类）行政事业单位医疗（款）行政单位医疗（项）年初预算为8.67万元，决算数为7.62万元，完成年初预算的87.9%</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为单位行政编制职工缴纳应由单位承担部分的基本医疗保险费，同时包括按规定缴纳的公务员医疗补助费用，保障职工享受基本医疗保障待遇及补充医疗保障</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小于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年初预算按上年度职工工资总额及预计增幅测算缴费基数，实际年度内职工工资性收入（如绩效奖金、津贴补贴）增幅低于预期，使得实际缴费基数低于预算测算值</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w:t>
      </w:r>
      <w:r>
        <w:rPr>
          <w:rFonts w:hint="eastAsia" w:ascii="仿宋_GB2312" w:eastAsia="仿宋_GB2312"/>
          <w:color w:val="000000" w:themeColor="text1"/>
          <w:kern w:val="0"/>
          <w:sz w:val="32"/>
          <w:szCs w:val="32"/>
          <w:u w:val="none"/>
          <w:lang w:val="en-US" w:eastAsia="zh-CN"/>
          <w14:textFill>
            <w14:solidFill>
              <w14:schemeClr w14:val="tx1"/>
            </w14:solidFill>
          </w14:textFill>
        </w:rPr>
        <w:t>. 卫生健康支出（类）行政事业单位医疗（款）事业单位医疗（项）年初预算为4.79万元，决算数为4.97万元，完成年初预算的103.8%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为单位事业编制职工缴纳应由单位承担部分的基本医疗保险费，保障事业编制职工正常享受基本医疗报销、门诊统筹等医疗保障待遇</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年初预算按上年度事业编制职工工资水平测算缴费基数，年度内部分事业编制职工因职级晋升、岗位等级上调，工资性收入（如岗位工资、薪级工资）提高，使实际缴费基数高于预算测算值</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3</w:t>
      </w:r>
      <w:r>
        <w:rPr>
          <w:rFonts w:hint="eastAsia" w:ascii="仿宋_GB2312" w:eastAsia="仿宋_GB2312"/>
          <w:color w:val="000000" w:themeColor="text1"/>
          <w:kern w:val="0"/>
          <w:sz w:val="32"/>
          <w:szCs w:val="32"/>
          <w:u w:val="none"/>
          <w:lang w:val="en-US" w:eastAsia="zh-CN"/>
          <w14:textFill>
            <w14:solidFill>
              <w14:schemeClr w14:val="tx1"/>
            </w14:solidFill>
          </w14:textFill>
        </w:rPr>
        <w:t>. 卫生健康支出（类）行政事业单位医疗（款）公务员医疗补助（项）年初预算为4.64万元，决算数为4.07万元，完成年初预算的87.7%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为单位符合条件的公务员缴纳公务员医疗补助费用，用于补充基本医疗保险，提高公务员医疗保障水平</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小于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年初预算按上年度公务员工资总额测算补助缴费基数，实际年度内公务员工资性收入（如绩效津贴、专项补贴）调整变动低于预期，使得实际缴费基数低于预算值</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（十）节能环保支出（类）年初预算为0万元，决算数为0万元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（十一）城乡社区支出（类）年初预算为0万元，决算数为0万元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（十二）农林水支出（类）年初预算为0万元，决算数为0万元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（十三）交通运输支出（类）年初预算为0万元，决算数为0万元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（十四）资源勘探工业信息等支出（类）年初预算为0万元，决算数为0万元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（十五）商业服务业等支出（类）年初预算为0万元，决算数为0万元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（十六）金融支出（类）年初预算为0万元，决算数为0万元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（十七）援助其他地区支出（类）年初预算为0万元，决算数为0万元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（十八）自然资源海洋气象等支出（类）年初预算为0万元，决算数为0万元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（十九）住房保障支出（类）年初预算为31.95万元，决算数为29.45万元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住房保障支出（类）住房改革支出（款）住房公积金（项）年初预算为31.95万元，决算数为29.45万元，完成年初预算的92.2%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为单位在职职工缴纳应由单位承担部分的住房公积金，缴费基数和比例严格遵循当地规定，保障职工住房消费需求，支持职工购买、建造、翻建、大修自住住房</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小于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年初预算按上年度职工工资总额及预期增幅测算缴费基数，实际年度内职工工资性收入（如绩效奖金、岗位津贴）因调整变动，增幅低于预算预期，使得实际缴费基数低于预算测算值</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（二十）粮油物资储备支出（类）年初预算为0万元，决算数为0万元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（二十一）国有资本经营预算支出（类）年初预算为0万元，决算数为0万元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（二十二）灾害防治及应急管理支出（类）年初预算为0万元，决算数为0万元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（二十三）其他支出（类）年初预算为0万元，决算数为0万元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（二十四）债务还本支出（类）年初预算为0万元，决算数为0万元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（二十五）债务付息支出（类）年初预算为0万元，决算数为0万元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（二十六）抗疫特别国债安排的支出（类）年初预算为0万元，决算数为0万元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03FE2D2B">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73DA9CFF">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color w:val="000000" w:themeColor="text1"/>
          <w:kern w:val="0"/>
          <w:sz w:val="32"/>
          <w:szCs w:val="32"/>
          <w14:textFill>
            <w14:solidFill>
              <w14:schemeClr w14:val="tx1"/>
            </w14:solidFill>
          </w14:textFill>
        </w:rPr>
        <w:t>、</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s="仿宋_GB2312"/>
          <w:kern w:val="0"/>
          <w:sz w:val="32"/>
          <w:szCs w:val="32"/>
        </w:rPr>
        <w:t>年度一般公共预算财政拨款基本支出决算情况说明</w:t>
      </w:r>
    </w:p>
    <w:p w14:paraId="45ACE51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olor w:val="000000" w:themeColor="text1"/>
          <w:kern w:val="0"/>
          <w:sz w:val="32"/>
          <w:szCs w:val="32"/>
          <w:u w:val="none"/>
          <w14:textFill>
            <w14:solidFill>
              <w14:schemeClr w14:val="tx1"/>
            </w14:solidFill>
          </w14:textFill>
        </w:rPr>
        <w:t>460.39</w:t>
      </w:r>
      <w:r>
        <w:rPr>
          <w:rFonts w:hint="eastAsia" w:ascii="仿宋_GB2312" w:eastAsia="仿宋_GB2312" w:cs="仿宋_GB2312"/>
          <w:color w:val="000000" w:themeColor="text1"/>
          <w:kern w:val="0"/>
          <w:sz w:val="32"/>
          <w:szCs w:val="32"/>
          <w:u w:val="none"/>
          <w14:textFill>
            <w14:solidFill>
              <w14:schemeClr w14:val="tx1"/>
            </w14:solidFill>
          </w14:textFill>
        </w:rPr>
        <w:t>万元，支出具体情况如下：</w:t>
      </w:r>
      <w:r>
        <w:rPr>
          <w:rFonts w:hint="eastAsia" w:ascii="仿宋_GB2312" w:eastAsia="仿宋_GB2312" w:cs="仿宋_GB2312"/>
          <w:color w:val="000000" w:themeColor="text1"/>
          <w:kern w:val="0"/>
          <w:sz w:val="32"/>
          <w:szCs w:val="32"/>
          <w:u w:val="none"/>
          <w14:textFill>
            <w14:solidFill>
              <w14:schemeClr w14:val="tx1"/>
            </w14:solidFill>
          </w14:textFill>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（一）工资福利支出年初预算为395.64万元，决算数为415.70万元，完成年初预算的105.1%</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支付单位在职职工的基本工资、津贴补贴（如岗位津贴、地区附加津贴）、奖金（如年终一次性奖金、绩效奖金），以及按政策规定为职工缴纳的基本养老保险费、基本医疗保险费、失业保险费、工伤保险费、生育保险费、住房公积金、职业年金等各类工资福利类费用</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决算数</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大于</w:t>
      </w:r>
      <w:r>
        <w:rPr>
          <w:rFonts w:hint="eastAsia" w:ascii="仿宋_GB2312" w:hAnsi="仿宋_GB2312" w:eastAsia="仿宋_GB2312" w:cs="仿宋_GB2312"/>
          <w:color w:val="000000" w:themeColor="text1"/>
          <w:kern w:val="0"/>
          <w:sz w:val="32"/>
          <w:szCs w:val="32"/>
          <w:u w:val="none"/>
          <w14:textFill>
            <w14:solidFill>
              <w14:schemeClr w14:val="tx1"/>
            </w14:solidFill>
          </w14:textFill>
        </w:rPr>
        <w:t>预算数的主要原因是</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年度内单位按政策完成职工工资调整（如基本工资标准上调、津贴补贴调标），或部分职工因职务晋升、职级/职称上调，导致工资性收入总额高于年初预算测算值</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p>
    <w:p w14:paraId="1B7C7B3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bCs/>
          <w:kern w:val="0"/>
          <w:sz w:val="32"/>
          <w:szCs w:val="32"/>
          <w:lang w:eastAsia="zh-CN"/>
        </w:rPr>
      </w:pPr>
      <w:r>
        <w:rPr>
          <w:rFonts w:hint="eastAsia" w:ascii="仿宋_GB2312" w:eastAsia="仿宋_GB2312"/>
          <w:sz w:val="32"/>
          <w:szCs w:val="32"/>
        </w:rPr>
        <w:fldChar w:fldCharType="begin"/>
      </w:r>
      <w:r>
        <w:rPr>
          <w:rFonts w:hint="eastAsia" w:ascii="仿宋_GB2312" w:eastAsia="仿宋_GB2312"/>
          <w:sz w:val="32"/>
          <w:szCs w:val="32"/>
        </w:rPr>
        <w:instrText xml:space="preserve">  </w:instrText>
      </w:r>
      <w:r>
        <w:rPr>
          <w:rFonts w:hint="eastAsia" w:ascii="仿宋_GB2312" w:eastAsia="仿宋_GB2312"/>
          <w:sz w:val="32"/>
          <w:szCs w:val="32"/>
        </w:rPr>
        <w:fldChar w:fldCharType="end"/>
      </w:r>
      <w:r>
        <w:rPr>
          <w:rFonts w:hint="eastAsia" w:ascii="仿宋_GB2312" w:eastAsia="仿宋_GB2312"/>
          <w:sz w:val="32"/>
          <w:szCs w:val="32"/>
        </w:rPr>
        <w:t>按款级经济分类科目如下：</w:t>
      </w:r>
      <w:r>
        <w:rPr>
          <w:rFonts w:hint="eastAsia" w:ascii="仿宋_GB2312" w:eastAsia="仿宋_GB2312"/>
          <w:sz w:val="32"/>
          <w:szCs w:val="32"/>
          <w:lang w:val="en-US" w:eastAsia="zh-CN"/>
        </w:rPr>
        <w:t>30101基本工资95.26万元，30102津贴补贴50.03万元，30103奖金67.40万元，30107绩效工资48.68万元，30108机关事业单位基本养老保险缴费48.88万元，30109职业年金缴费37.24万元，30110职工基本医疗保险缴费12.28万元，30111公务员医疗补助缴费4.07万元，30112其他社会保障缴费0.93万元，30113住房公积金29.45万元，30199其他工资福利支出21.48万元</w:t>
      </w:r>
      <w:r>
        <w:rPr>
          <w:rFonts w:hint="eastAsia" w:ascii="仿宋_GB2312" w:eastAsia="仿宋_GB2312"/>
          <w:sz w:val="32"/>
          <w:szCs w:val="32"/>
        </w:rPr>
        <w:t>。</w:t>
      </w:r>
      <w:r>
        <w:rPr>
          <w:rFonts w:hint="eastAsia" w:ascii="仿宋_GB2312" w:hAnsi="仿宋_GB2312" w:eastAsia="仿宋_GB2312" w:cs="仿宋_GB2312"/>
          <w:b w:val="0"/>
          <w:bCs/>
          <w:color w:val="auto"/>
          <w:kern w:val="0"/>
          <w:sz w:val="32"/>
          <w:szCs w:val="32"/>
          <w:highlight w:val="none"/>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（二）商品和服务支出年初预算为43.77万元，决算数为38.83万元，完成年初预算的88.7%</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单位日常运转所需的各类商品采购及服务支出，具体包括办公用品购置、打印复印费、水电费、物业费、邮电费、差旅费、会议费、培训费、维修（护）费等支出，保障单位行政办公、业务开展等日常工作正常推进</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决算数</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小于</w:t>
      </w:r>
      <w:r>
        <w:rPr>
          <w:rFonts w:hint="eastAsia" w:ascii="仿宋_GB2312" w:hAnsi="仿宋_GB2312" w:eastAsia="仿宋_GB2312" w:cs="仿宋_GB2312"/>
          <w:color w:val="000000" w:themeColor="text1"/>
          <w:kern w:val="0"/>
          <w:sz w:val="32"/>
          <w:szCs w:val="32"/>
          <w:u w:val="none"/>
          <w14:textFill>
            <w14:solidFill>
              <w14:schemeClr w14:val="tx1"/>
            </w14:solidFill>
          </w14:textFill>
        </w:rPr>
        <w:t>预算数的主要原因是</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年度内严格执行厉行节约政策，压缩非必要开支，如减少非急需办公用品采购、选择更经济的差旅交通及住宿方式，有效减少了相关支出</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p>
    <w:p w14:paraId="1B7C7B3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bCs/>
          <w:kern w:val="0"/>
          <w:sz w:val="32"/>
          <w:szCs w:val="32"/>
          <w:lang w:eastAsia="zh-CN"/>
        </w:rPr>
      </w:pPr>
      <w:r>
        <w:rPr>
          <w:rFonts w:hint="eastAsia" w:ascii="仿宋_GB2312" w:eastAsia="仿宋_GB2312"/>
          <w:sz w:val="32"/>
          <w:szCs w:val="32"/>
        </w:rPr>
        <w:fldChar w:fldCharType="begin"/>
      </w:r>
      <w:r>
        <w:rPr>
          <w:rFonts w:hint="eastAsia" w:ascii="仿宋_GB2312" w:eastAsia="仿宋_GB2312"/>
          <w:sz w:val="32"/>
          <w:szCs w:val="32"/>
        </w:rPr>
        <w:instrText xml:space="preserve">  </w:instrText>
      </w:r>
      <w:r>
        <w:rPr>
          <w:rFonts w:hint="eastAsia" w:ascii="仿宋_GB2312" w:eastAsia="仿宋_GB2312"/>
          <w:sz w:val="32"/>
          <w:szCs w:val="32"/>
        </w:rPr>
        <w:fldChar w:fldCharType="end"/>
      </w:r>
      <w:r>
        <w:rPr>
          <w:rFonts w:hint="eastAsia" w:ascii="仿宋_GB2312" w:eastAsia="仿宋_GB2312"/>
          <w:sz w:val="32"/>
          <w:szCs w:val="32"/>
        </w:rPr>
        <w:t>按款级经济分类科目如下：</w:t>
      </w:r>
      <w:r>
        <w:rPr>
          <w:rFonts w:hint="eastAsia" w:ascii="仿宋_GB2312" w:eastAsia="仿宋_GB2312"/>
          <w:sz w:val="32"/>
          <w:szCs w:val="32"/>
          <w:lang w:val="en-US" w:eastAsia="zh-CN"/>
        </w:rPr>
        <w:t>30201办公费7.70万元，30207邮电费2.03万元，30211差旅费1.50万元，30215会议费3.49万元，30217公务接待费0.16万元，30229福利费1.61万元，30239其他交通费用12.85万元，30299其他商品和服务支出9.48万元</w:t>
      </w:r>
      <w:r>
        <w:rPr>
          <w:rFonts w:hint="eastAsia" w:ascii="仿宋_GB2312" w:eastAsia="仿宋_GB2312"/>
          <w:sz w:val="32"/>
          <w:szCs w:val="32"/>
        </w:rPr>
        <w:t>。</w:t>
      </w:r>
      <w:r>
        <w:rPr>
          <w:rFonts w:hint="eastAsia" w:ascii="仿宋_GB2312" w:hAnsi="仿宋_GB2312" w:eastAsia="仿宋_GB2312" w:cs="仿宋_GB2312"/>
          <w:b w:val="0"/>
          <w:bCs/>
          <w:color w:val="auto"/>
          <w:kern w:val="0"/>
          <w:sz w:val="32"/>
          <w:szCs w:val="32"/>
          <w:highlight w:val="none"/>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（三）对个人和家庭的补助年初预算为5.09万元，决算数为5.87万元，完成年初预算的115.3%</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支付单位职工及家属的各类补助、补贴类费用等，保障相关个人及家庭的基本生活需求</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决算数</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大于</w:t>
      </w:r>
      <w:r>
        <w:rPr>
          <w:rFonts w:hint="eastAsia" w:ascii="仿宋_GB2312" w:hAnsi="仿宋_GB2312" w:eastAsia="仿宋_GB2312" w:cs="仿宋_GB2312"/>
          <w:color w:val="000000" w:themeColor="text1"/>
          <w:kern w:val="0"/>
          <w:sz w:val="32"/>
          <w:szCs w:val="32"/>
          <w:u w:val="none"/>
          <w14:textFill>
            <w14:solidFill>
              <w14:schemeClr w14:val="tx1"/>
            </w14:solidFill>
          </w14:textFill>
        </w:rPr>
        <w:t>预算数的主要原因是</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w:t>
      </w:r>
      <w:r>
        <w:rPr>
          <w:rFonts w:hint="eastAsia" w:ascii="仿宋_GB2312" w:eastAsia="仿宋_GB2312"/>
          <w:color w:val="000000" w:themeColor="text1"/>
          <w:kern w:val="0"/>
          <w:sz w:val="32"/>
          <w:szCs w:val="32"/>
          <w:u w:val="none"/>
          <w:lang w:val="en-US" w:eastAsia="zh-CN"/>
          <w14:textFill>
            <w14:solidFill>
              <w14:schemeClr w14:val="tx1"/>
            </w14:solidFill>
          </w14:textFill>
        </w:rPr>
        <w:t>单位按新标准补发或正常发放的补助金额高于年初按旧标准测算的预算数，直接推高决算支出</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p>
    <w:p w14:paraId="1B7C7B3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bCs/>
          <w:kern w:val="0"/>
          <w:sz w:val="32"/>
          <w:szCs w:val="32"/>
          <w:lang w:eastAsia="zh-CN"/>
        </w:rPr>
      </w:pPr>
      <w:r>
        <w:rPr>
          <w:rFonts w:hint="eastAsia" w:ascii="仿宋_GB2312" w:eastAsia="仿宋_GB2312"/>
          <w:sz w:val="32"/>
          <w:szCs w:val="32"/>
        </w:rPr>
        <w:fldChar w:fldCharType="begin"/>
      </w:r>
      <w:r>
        <w:rPr>
          <w:rFonts w:hint="eastAsia" w:ascii="仿宋_GB2312" w:eastAsia="仿宋_GB2312"/>
          <w:sz w:val="32"/>
          <w:szCs w:val="32"/>
        </w:rPr>
        <w:instrText xml:space="preserve">  </w:instrText>
      </w:r>
      <w:r>
        <w:rPr>
          <w:rFonts w:hint="eastAsia" w:ascii="仿宋_GB2312" w:eastAsia="仿宋_GB2312"/>
          <w:sz w:val="32"/>
          <w:szCs w:val="32"/>
        </w:rPr>
        <w:fldChar w:fldCharType="end"/>
      </w:r>
      <w:r>
        <w:rPr>
          <w:rFonts w:hint="eastAsia" w:ascii="仿宋_GB2312" w:eastAsia="仿宋_GB2312"/>
          <w:sz w:val="32"/>
          <w:szCs w:val="32"/>
        </w:rPr>
        <w:t>按款级经济分类科目如下：</w:t>
      </w:r>
      <w:r>
        <w:rPr>
          <w:rFonts w:hint="eastAsia" w:ascii="仿宋_GB2312" w:eastAsia="仿宋_GB2312"/>
          <w:sz w:val="32"/>
          <w:szCs w:val="32"/>
          <w:lang w:val="en-US" w:eastAsia="zh-CN"/>
        </w:rPr>
        <w:t>30305生活补助4.87万元，30307医疗费补助1.00万元</w:t>
      </w:r>
      <w:r>
        <w:rPr>
          <w:rFonts w:hint="eastAsia" w:ascii="仿宋_GB2312" w:eastAsia="仿宋_GB2312"/>
          <w:sz w:val="32"/>
          <w:szCs w:val="32"/>
        </w:rPr>
        <w:t>。</w:t>
      </w:r>
      <w:r>
        <w:rPr>
          <w:rFonts w:hint="eastAsia" w:ascii="仿宋_GB2312" w:hAnsi="仿宋_GB2312" w:eastAsia="仿宋_GB2312" w:cs="仿宋_GB2312"/>
          <w:b w:val="0"/>
          <w:bCs/>
          <w:color w:val="auto"/>
          <w:kern w:val="0"/>
          <w:sz w:val="32"/>
          <w:szCs w:val="32"/>
          <w:highlight w:val="none"/>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（四）债务利息及费用支出年初预算为0万元，决算数为0万元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（五）资本性支出年初预算为0万元，决算数为0万元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（六）对企业补助年初预算为0万元，决算数为0万元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（七）其他支出年初预算为0万元，决算数为0万元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3DD632A4">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p>
    <w:p w14:paraId="61002573">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color w:val="000000" w:themeColor="text1"/>
          <w:kern w:val="0"/>
          <w:sz w:val="32"/>
          <w:szCs w:val="32"/>
          <w14:textFill>
            <w14:solidFill>
              <w14:schemeClr w14:val="tx1"/>
            </w14:solidFill>
          </w14:textFill>
        </w:rPr>
        <w:t>、</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olor w:val="000000" w:themeColor="text1"/>
          <w:kern w:val="0"/>
          <w:sz w:val="32"/>
          <w:szCs w:val="32"/>
          <w:u w:val="none"/>
          <w:lang w:val="en-US" w:eastAsia="zh-CN"/>
          <w14:textFill>
            <w14:solidFill>
              <w14:schemeClr w14:val="tx1"/>
            </w14:solidFill>
          </w14:textFill>
        </w:rPr>
        <w:t>年度政府性基金支出决算情况</w:t>
      </w:r>
    </w:p>
    <w:p w14:paraId="2AB8228E">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百色市信访局</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年度政府性基金</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14:textFill>
            <w14:solidFill>
              <w14:schemeClr w14:val="tx1"/>
            </w14:solidFill>
          </w14:textFill>
        </w:rPr>
        <w:t>较2023年度决算数0万元，增加0万元</w:t>
      </w:r>
      <w:r>
        <w:rPr>
          <w:rFonts w:hint="eastAsia" w:ascii="仿宋_GB2312" w:hAnsi="黑体" w:eastAsia="仿宋_GB2312" w:cs="仿宋_GB2312"/>
          <w:color w:val="000000" w:themeColor="text1"/>
          <w:kern w:val="0"/>
          <w:sz w:val="32"/>
          <w:szCs w:val="32"/>
          <w:u w:val="none"/>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其中：基本支出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万元，项目支出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p>
    <w:p w14:paraId="13EFBE9C">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百色市信访局</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年度政府性基金</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支出</w:t>
      </w:r>
      <w:r>
        <w:rPr>
          <w:rFonts w:hint="eastAsia" w:ascii="仿宋_GB2312" w:hAnsi="黑体" w:eastAsia="仿宋_GB2312" w:cs="仿宋_GB2312"/>
          <w:color w:val="000000" w:themeColor="text1"/>
          <w:kern w:val="0"/>
          <w:sz w:val="32"/>
          <w:szCs w:val="32"/>
          <w:u w:val="none"/>
          <w14:textFill>
            <w14:solidFill>
              <w14:schemeClr w14:val="tx1"/>
            </w14:solidFill>
          </w14:textFill>
        </w:rPr>
        <w:t>年初预算为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万元，支出决算为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万元，完成年初预算的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hAnsi="黑体" w:eastAsia="仿宋_GB2312" w:cs="仿宋_GB2312"/>
          <w:color w:val="000000" w:themeColor="text1"/>
          <w:kern w:val="0"/>
          <w:sz w:val="32"/>
          <w:szCs w:val="32"/>
          <w:u w:val="none"/>
          <w14:textFill>
            <w14:solidFill>
              <w14:schemeClr w14:val="tx1"/>
            </w14:solidFill>
          </w14:textFill>
        </w:rPr>
        <w:t/>
      </w:r>
    </w:p>
    <w:p w14:paraId="3ACD797C">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color w:val="000000"/>
          <w:kern w:val="0"/>
          <w:sz w:val="32"/>
          <w:szCs w:val="32"/>
        </w:rPr>
        <w:t/>
      </w:r>
      <w:r>
        <w:rPr>
          <w:rFonts w:hint="eastAsia" w:ascii="仿宋_GB2312" w:eastAsia="仿宋_GB2312" w:cs="仿宋_GB2312"/>
          <w:color w:val="000000"/>
          <w:kern w:val="0"/>
          <w:sz w:val="32"/>
          <w:szCs w:val="32"/>
          <w:lang w:val="en-US" w:eastAsia="zh-CN"/>
        </w:rPr>
        <w:t>百色市信访局</w:t>
      </w:r>
      <w:r>
        <w:rPr>
          <w:rFonts w:hint="eastAsia" w:ascii="仿宋_GB2312" w:eastAsia="仿宋_GB2312"/>
          <w:color w:val="000000" w:themeColor="text1"/>
          <w:kern w:val="0"/>
          <w:sz w:val="32"/>
          <w:szCs w:val="32"/>
          <w:u w:val="none"/>
          <w14:textFill>
            <w14:solidFill>
              <w14:schemeClr w14:val="tx1"/>
            </w14:solidFill>
          </w14:textFill>
        </w:rPr>
        <w:t>2024年度没有政府性基金收入，也没有政府性基金安排的支出，故无数据情况说明</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p>
    <w:p w14:paraId="1AC7D9A8">
      <w:pPr>
        <w:autoSpaceDE w:val="0"/>
        <w:autoSpaceDN w:val="0"/>
        <w:adjustRightInd w:val="0"/>
        <w:spacing w:line="560" w:lineRule="exact"/>
        <w:jc w:val="left"/>
        <w:rPr>
          <w:rFonts w:hint="eastAsia" w:ascii="仿宋_GB2312" w:eastAsia="仿宋_GB2312" w:cs="仿宋_GB2312"/>
          <w:kern w:val="0"/>
          <w:sz w:val="32"/>
          <w:szCs w:val="32"/>
        </w:rPr>
      </w:pPr>
    </w:p>
    <w:p w14:paraId="2A83A47D">
      <w:pPr>
        <w:autoSpaceDE w:val="0"/>
        <w:autoSpaceDN w:val="0"/>
        <w:adjustRightInd w:val="0"/>
        <w:spacing w:line="560" w:lineRule="exact"/>
        <w:jc w:val="left"/>
        <w:rPr>
          <w:rFonts w:hint="eastAsia" w:ascii="仿宋_GB2312" w:eastAsia="仿宋_GB2312" w:cs="仿宋_GB2312"/>
          <w:kern w:val="0"/>
          <w:sz w:val="32"/>
          <w:szCs w:val="32"/>
        </w:rPr>
      </w:pPr>
    </w:p>
    <w:p w14:paraId="29507B17">
      <w:pPr>
        <w:autoSpaceDE w:val="0"/>
        <w:autoSpaceDN w:val="0"/>
        <w:adjustRightInd w:val="0"/>
        <w:spacing w:line="560" w:lineRule="exact"/>
        <w:ind w:firstLine="640" w:firstLineChars="200"/>
        <w:jc w:val="left"/>
        <w:outlineLvl w:val="1"/>
        <w:rPr>
          <w:rFonts w:hint="eastAsia" w:ascii="黑体" w:hAnsi="黑体" w:eastAsia="黑体"/>
          <w:color w:val="000000" w:themeColor="text1"/>
          <w:kern w:val="0"/>
          <w:sz w:val="32"/>
          <w:szCs w:val="32"/>
          <w:u w:val="none"/>
          <w:lang w:val="en-US" w:eastAsia="zh-CN"/>
          <w14:textFill>
            <w14:solidFill>
              <w14:schemeClr w14:val="tx1"/>
            </w14:solidFill>
          </w14:textFill>
        </w:rPr>
      </w:pPr>
      <w:r>
        <w:rPr>
          <w:rFonts w:hint="eastAsia" w:ascii="黑体" w:hAnsi="黑体" w:eastAsia="黑体"/>
          <w:color w:val="000000" w:themeColor="text1"/>
          <w:kern w:val="0"/>
          <w:sz w:val="32"/>
          <w:szCs w:val="32"/>
          <w:u w:val="none"/>
          <w:lang w:val="en-US" w:eastAsia="zh-CN"/>
          <w14:textFill>
            <w14:solidFill>
              <w14:schemeClr w14:val="tx1"/>
            </w14:solidFill>
          </w14:textFill>
        </w:rPr>
        <w:t>五、</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olor w:val="000000" w:themeColor="text1"/>
          <w:kern w:val="0"/>
          <w:sz w:val="32"/>
          <w:szCs w:val="32"/>
          <w:u w:val="none"/>
          <w:lang w:val="en-US" w:eastAsia="zh-CN"/>
          <w14:textFill>
            <w14:solidFill>
              <w14:schemeClr w14:val="tx1"/>
            </w14:solidFill>
          </w14:textFill>
        </w:rPr>
        <w:t>年度国有资本经营预算支出决算情况</w:t>
      </w:r>
    </w:p>
    <w:p w14:paraId="755FC698">
      <w:pPr>
        <w:autoSpaceDE w:val="0"/>
        <w:autoSpaceDN w:val="0"/>
        <w:adjustRightInd w:val="0"/>
        <w:spacing w:line="560" w:lineRule="exact"/>
        <w:ind w:firstLine="627" w:firstLineChars="196"/>
        <w:jc w:val="left"/>
        <w:rPr>
          <w:rFonts w:hint="eastAsia" w:ascii="仿宋_GB2312" w:hAnsi="黑体" w:eastAsia="仿宋_GB2312" w:cs="仿宋_GB2312"/>
          <w:color w:val="000000" w:themeColor="text1"/>
          <w:kern w:val="0"/>
          <w:sz w:val="32"/>
          <w:szCs w:val="32"/>
          <w:u w:val="none"/>
          <w14:textFill>
            <w14:solidFill>
              <w14:schemeClr w14:val="tx1"/>
            </w14:solidFill>
          </w14:textFill>
        </w:rPr>
      </w:pP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hAnsi="黑体" w:eastAsia="仿宋_GB2312" w:cs="仿宋_GB2312"/>
          <w:color w:val="000000" w:themeColor="text1"/>
          <w:kern w:val="0"/>
          <w:sz w:val="32"/>
          <w:szCs w:val="32"/>
          <w:u w:val="none"/>
          <w14:textFill>
            <w14:solidFill>
              <w14:schemeClr w14:val="tx1"/>
            </w14:solidFill>
          </w14:textFill>
        </w:rPr>
        <w:t>年度国有资本经营</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预算财政拨款</w:t>
      </w:r>
      <w:r>
        <w:rPr>
          <w:rFonts w:hint="eastAsia" w:ascii="仿宋_GB2312" w:hAnsi="黑体" w:eastAsia="仿宋_GB2312" w:cs="仿宋_GB2312"/>
          <w:color w:val="000000" w:themeColor="text1"/>
          <w:kern w:val="0"/>
          <w:sz w:val="32"/>
          <w:szCs w:val="32"/>
          <w:u w:val="none"/>
          <w14:textFill>
            <w14:solidFill>
              <w14:schemeClr w14:val="tx1"/>
            </w14:solidFill>
          </w14:textFill>
        </w:rPr>
        <w:t>支出0万元</w:t>
      </w:r>
      <w:r>
        <w:rPr>
          <w:rFonts w:hint="eastAsia" w:ascii="仿宋_GB2312" w:hAnsi="黑体" w:eastAsia="仿宋_GB2312" w:cs="仿宋_GB2312"/>
          <w:color w:val="000000" w:themeColor="text1"/>
          <w:kern w:val="0"/>
          <w:sz w:val="32"/>
          <w:szCs w:val="32"/>
          <w:u w:val="none"/>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较2023年度决算数0万元，增加0万元</w:t>
      </w:r>
      <w:r>
        <w:rPr>
          <w:rFonts w:hint="eastAsia" w:ascii="仿宋_GB2312" w:hAnsi="黑体" w:eastAsia="仿宋_GB2312" w:cs="仿宋_GB2312"/>
          <w:color w:val="000000" w:themeColor="text1"/>
          <w:kern w:val="0"/>
          <w:sz w:val="32"/>
          <w:szCs w:val="32"/>
          <w:u w:val="none"/>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。其中：基本支出</w:t>
      </w:r>
      <w:r>
        <w:rPr>
          <w:rFonts w:hint="eastAsia" w:ascii="仿宋_GB2312" w:hAnsi="黑体" w:eastAsia="仿宋_GB2312" w:cs="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万元，项目支出</w:t>
      </w:r>
      <w:r>
        <w:rPr>
          <w:rFonts w:hint="eastAsia" w:ascii="仿宋_GB2312" w:hAnsi="黑体" w:eastAsia="仿宋_GB2312" w:cs="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w:t>
      </w:r>
    </w:p>
    <w:p w14:paraId="6ECA3AE3">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hAnsi="黑体" w:eastAsia="仿宋_GB2312" w:cs="仿宋_GB2312"/>
          <w:color w:val="000000" w:themeColor="text1"/>
          <w:kern w:val="0"/>
          <w:sz w:val="32"/>
          <w:szCs w:val="32"/>
          <w:u w:val="none"/>
          <w14:textFill>
            <w14:solidFill>
              <w14:schemeClr w14:val="tx1"/>
            </w14:solidFill>
          </w14:textFill>
        </w:rPr>
        <w:t>年度</w:t>
      </w:r>
      <w:r>
        <w:rPr>
          <w:rFonts w:hint="eastAsia" w:ascii="仿宋_GB2312" w:eastAsia="仿宋_GB2312" w:cs="仿宋_GB2312"/>
          <w:color w:val="000000" w:themeColor="text1"/>
          <w:kern w:val="0"/>
          <w:sz w:val="32"/>
          <w:szCs w:val="32"/>
          <w:u w:val="none"/>
          <w14:textFill>
            <w14:solidFill>
              <w14:schemeClr w14:val="tx1"/>
            </w14:solidFill>
          </w14:textFill>
        </w:rPr>
        <w:t>国有资本经营</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预算财政拨款</w:t>
      </w:r>
      <w:r>
        <w:rPr>
          <w:rFonts w:hint="eastAsia" w:ascii="仿宋_GB2312" w:hAnsi="黑体" w:eastAsia="仿宋_GB2312" w:cs="仿宋_GB2312"/>
          <w:color w:val="000000" w:themeColor="text1"/>
          <w:kern w:val="0"/>
          <w:sz w:val="32"/>
          <w:szCs w:val="32"/>
          <w:u w:val="none"/>
          <w14:textFill>
            <w14:solidFill>
              <w14:schemeClr w14:val="tx1"/>
            </w14:solidFill>
          </w14:textFill>
        </w:rPr>
        <w:t>支出年初预算为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万元，支出决算</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hAnsi="黑体" w:eastAsia="仿宋_GB2312" w:cs="仿宋_GB2312"/>
          <w:color w:val="000000" w:themeColor="text1"/>
          <w:kern w:val="0"/>
          <w:sz w:val="32"/>
          <w:szCs w:val="32"/>
          <w:u w:val="none"/>
          <w14:textFill>
            <w14:solidFill>
              <w14:schemeClr w14:val="tx1"/>
            </w14:solidFill>
          </w14:textFill>
        </w:rPr>
        <w:t>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万元，完成年初预算的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hAnsi="黑体" w:eastAsia="仿宋_GB2312" w:cs="仿宋_GB2312"/>
          <w:color w:val="000000" w:themeColor="text1"/>
          <w:kern w:val="0"/>
          <w:sz w:val="32"/>
          <w:szCs w:val="32"/>
          <w:u w:val="none"/>
          <w14:textFill>
            <w14:solidFill>
              <w14:schemeClr w14:val="tx1"/>
            </w14:solidFill>
          </w14:textFill>
        </w:rPr>
        <w:t/>
      </w:r>
    </w:p>
    <w:p w14:paraId="483907D9">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color w:val="000000"/>
          <w:kern w:val="0"/>
          <w:sz w:val="32"/>
          <w:szCs w:val="32"/>
        </w:rPr>
        <w:t/>
      </w:r>
      <w:r>
        <w:rPr>
          <w:rFonts w:hint="eastAsia" w:ascii="仿宋_GB2312" w:eastAsia="仿宋_GB2312" w:cs="仿宋_GB2312"/>
          <w:color w:val="000000"/>
          <w:kern w:val="0"/>
          <w:sz w:val="32"/>
          <w:szCs w:val="32"/>
          <w:lang w:val="en-US" w:eastAsia="zh-CN"/>
        </w:rPr>
        <w:t>百色市信访局</w:t>
      </w:r>
      <w:r>
        <w:rPr>
          <w:rFonts w:hint="eastAsia" w:ascii="仿宋_GB2312" w:eastAsia="仿宋_GB2312"/>
          <w:color w:val="000000" w:themeColor="text1"/>
          <w:kern w:val="0"/>
          <w:sz w:val="32"/>
          <w:szCs w:val="32"/>
          <w:u w:val="none"/>
          <w14:textFill>
            <w14:solidFill>
              <w14:schemeClr w14:val="tx1"/>
            </w14:solidFill>
          </w14:textFill>
        </w:rPr>
        <w:t>2024年度没有国有资本经营预算财政拨款收入，也没有国有资本经营预算财政拨款安排的支出，故无数据情况说明</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p>
    <w:p w14:paraId="712073B2">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p>
    <w:p w14:paraId="11E5E53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01EF20B9">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rPr>
        <w:t>六、财政拨款</w:t>
      </w:r>
      <w:r>
        <w:rPr>
          <w:rFonts w:hint="eastAsia" w:ascii="黑体" w:hAnsi="黑体" w:eastAsia="黑体" w:cs="仿宋_GB2312"/>
          <w:kern w:val="0"/>
          <w:sz w:val="32"/>
          <w:szCs w:val="32"/>
          <w:lang w:val="en-US" w:eastAsia="zh-CN"/>
        </w:rPr>
        <w:t>安排的</w:t>
      </w:r>
      <w:r>
        <w:rPr>
          <w:rFonts w:hint="eastAsia" w:ascii="黑体" w:hAnsi="黑体" w:eastAsia="黑体" w:cs="仿宋_GB2312"/>
          <w:kern w:val="0"/>
          <w:sz w:val="32"/>
          <w:szCs w:val="32"/>
        </w:rPr>
        <w:t>“三公”经费支出决算情况</w:t>
      </w:r>
      <w:r>
        <w:rPr>
          <w:rFonts w:hint="eastAsia" w:ascii="黑体" w:hAnsi="黑体" w:eastAsia="黑体" w:cs="仿宋_GB2312"/>
          <w:kern w:val="0"/>
          <w:sz w:val="32"/>
          <w:szCs w:val="32"/>
          <w:lang w:val="en-US" w:eastAsia="zh-CN"/>
        </w:rPr>
        <w:t>说明</w:t>
      </w:r>
    </w:p>
    <w:p w14:paraId="2847503D">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年度财政拨款</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安排的</w:t>
      </w:r>
      <w:r>
        <w:rPr>
          <w:rFonts w:hint="eastAsia" w:ascii="仿宋_GB2312" w:eastAsia="仿宋_GB2312" w:cs="仿宋_GB2312"/>
          <w:color w:val="000000" w:themeColor="text1"/>
          <w:kern w:val="0"/>
          <w:sz w:val="32"/>
          <w:szCs w:val="32"/>
          <w:u w:val="none"/>
          <w14:textFill>
            <w14:solidFill>
              <w14:schemeClr w14:val="tx1"/>
            </w14:solidFill>
          </w14:textFill>
        </w:rPr>
        <w:t>“三公”经费支出</w:t>
      </w:r>
      <w:r>
        <w:rPr>
          <w:rFonts w:hint="eastAsia" w:ascii="仿宋_GB2312" w:eastAsia="仿宋_GB2312"/>
          <w:color w:val="000000" w:themeColor="text1"/>
          <w:kern w:val="0"/>
          <w:sz w:val="32"/>
          <w:szCs w:val="32"/>
          <w:u w:val="none"/>
          <w14:textFill>
            <w14:solidFill>
              <w14:schemeClr w14:val="tx1"/>
            </w14:solidFill>
          </w14:textFill>
        </w:rPr>
        <w:t>0.16</w:t>
      </w:r>
      <w:r>
        <w:rPr>
          <w:rFonts w:hint="eastAsia" w:ascii="仿宋_GB2312" w:eastAsia="仿宋_GB2312" w:cs="仿宋_GB2312"/>
          <w:color w:val="000000" w:themeColor="text1"/>
          <w:kern w:val="0"/>
          <w:sz w:val="32"/>
          <w:szCs w:val="32"/>
          <w:u w:val="none"/>
          <w14:textFill>
            <w14:solidFill>
              <w14:schemeClr w14:val="tx1"/>
            </w14:solidFill>
          </w14:textFill>
        </w:rPr>
        <w:t>万元，完成</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年初</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olor w:val="000000" w:themeColor="text1"/>
          <w:kern w:val="0"/>
          <w:sz w:val="32"/>
          <w:szCs w:val="32"/>
          <w:u w:val="none"/>
          <w14:textFill>
            <w14:solidFill>
              <w14:schemeClr w14:val="tx1"/>
            </w14:solidFill>
          </w14:textFill>
        </w:rPr>
        <w:t>84.2</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olor w:val="000000" w:themeColor="text1"/>
          <w:kern w:val="0"/>
          <w:sz w:val="32"/>
          <w:szCs w:val="32"/>
          <w:u w:val="none"/>
          <w14:textFill>
            <w14:solidFill>
              <w14:schemeClr w14:val="tx1"/>
            </w14:solidFill>
          </w14:textFill>
        </w:rPr>
        <w:t>较2023年度决算数0.19万元，减少0.03万元，下降15.8%</w:t>
      </w:r>
      <w:r>
        <w:rPr>
          <w:rFonts w:hint="eastAsia" w:ascii="仿宋_GB2312" w:eastAsia="仿宋_GB2312" w:cs="仿宋_GB2312"/>
          <w:color w:val="000000" w:themeColor="text1"/>
          <w:kern w:val="0"/>
          <w:sz w:val="32"/>
          <w:szCs w:val="32"/>
          <w:u w:val="none"/>
          <w14:textFill>
            <w14:solidFill>
              <w14:schemeClr w14:val="tx1"/>
            </w14:solidFill>
          </w14:textFill>
        </w:rPr>
        <w:t>，主要原因是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单位严格执行中央八项规定及厉行节约相关要求，进一步压缩公务接待规模，减少非必要的公务接待活动</w:t>
      </w:r>
      <w:r>
        <w:rPr>
          <w:rFonts w:hint="eastAsia" w:ascii="仿宋_GB2312" w:eastAsia="仿宋_GB2312" w:cs="仿宋_GB2312"/>
          <w:color w:val="000000" w:themeColor="text1"/>
          <w:kern w:val="0"/>
          <w:sz w:val="32"/>
          <w:szCs w:val="32"/>
          <w:u w:val="none"/>
          <w14:textFill>
            <w14:solidFill>
              <w14:schemeClr w14:val="tx1"/>
            </w14:solidFill>
          </w14:textFill>
        </w:rPr>
        <w:t>。其中：因公出国（境）费支出决算</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万元，公务用车购置及运行费支出决算</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万元，公务接待费支出决算</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eastAsia="仿宋_GB2312"/>
          <w:color w:val="000000" w:themeColor="text1"/>
          <w:kern w:val="0"/>
          <w:sz w:val="32"/>
          <w:szCs w:val="32"/>
          <w:u w:val="none"/>
          <w14:textFill>
            <w14:solidFill>
              <w14:schemeClr w14:val="tx1"/>
            </w14:solidFill>
          </w14:textFill>
        </w:rPr>
        <w:t>0.16</w:t>
      </w:r>
      <w:r>
        <w:rPr>
          <w:rFonts w:hint="eastAsia" w:ascii="仿宋_GB2312" w:eastAsia="仿宋_GB2312" w:cs="仿宋_GB2312"/>
          <w:color w:val="000000" w:themeColor="text1"/>
          <w:kern w:val="0"/>
          <w:sz w:val="32"/>
          <w:szCs w:val="32"/>
          <w:u w:val="none"/>
          <w14:textFill>
            <w14:solidFill>
              <w14:schemeClr w14:val="tx1"/>
            </w14:solidFill>
          </w14:textFill>
        </w:rPr>
        <w:t>万元。</w:t>
      </w:r>
    </w:p>
    <w:p w14:paraId="76720EBB">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14:paraId="223AF566">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kern w:val="0"/>
          <w:sz w:val="32"/>
          <w:szCs w:val="32"/>
        </w:rPr>
        <w:t>（一）因公出国（境）费支出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完成年初预算的</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0</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%，比上年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增加0万元</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，原因是</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本年度没有该项支出</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全年使用财政拨款安排</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百色市信访局</w:t>
      </w:r>
      <w:r>
        <w:rPr>
          <w:rFonts w:hint="eastAsia" w:ascii="仿宋_GB2312" w:hAnsi="黑体" w:eastAsia="仿宋_GB2312"/>
          <w:bCs/>
          <w:color w:val="000000" w:themeColor="text1"/>
          <w:sz w:val="32"/>
          <w:szCs w:val="32"/>
          <w:u w:val="none"/>
          <w14:textFill>
            <w14:solidFill>
              <w14:schemeClr w14:val="tx1"/>
            </w14:solidFill>
          </w14:textFill>
        </w:rPr>
        <w:t>出国团组</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个，参加其他单位组织的出国团组</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个</w:t>
      </w:r>
      <w:r>
        <w:rPr>
          <w:rFonts w:hint="eastAsia" w:ascii="仿宋_GB2312" w:hAnsi="黑体" w:eastAsia="仿宋_GB2312"/>
          <w:bCs/>
          <w:color w:val="000000"/>
          <w:sz w:val="32"/>
          <w:szCs w:val="32"/>
        </w:rPr>
        <w:t>，全年因公出国（境）团组共计</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个，累计</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人次</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开支内容包括：</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本单位无开支内容</w:t>
      </w:r>
      <w:r>
        <w:rPr>
          <w:rFonts w:hint="eastAsia" w:ascii="仿宋_GB2312" w:hAnsi="黑体" w:eastAsia="仿宋_GB2312"/>
          <w:bCs/>
          <w:color w:val="000000" w:themeColor="text1"/>
          <w:sz w:val="32"/>
          <w:szCs w:val="32"/>
          <w:u w:val="none"/>
          <w14:textFill>
            <w14:solidFill>
              <w14:schemeClr w14:val="tx1"/>
            </w14:solidFill>
          </w14:textFill>
        </w:rPr>
        <w:t>。</w:t>
      </w:r>
    </w:p>
    <w:p w14:paraId="350B6637">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color w:val="000000" w:themeColor="text1"/>
          <w:kern w:val="0"/>
          <w:sz w:val="32"/>
          <w:szCs w:val="32"/>
          <w:u w:val="none"/>
          <w14:textFill>
            <w14:solidFill>
              <w14:schemeClr w14:val="tx1"/>
            </w14:solidFill>
          </w14:textFill>
        </w:rPr>
        <w:t>（二）公务用车购置及运行费支出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万元。其中：</w:t>
      </w:r>
    </w:p>
    <w:p w14:paraId="28ECCF7D">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color w:val="000000" w:themeColor="text1"/>
          <w:kern w:val="0"/>
          <w:sz w:val="32"/>
          <w:szCs w:val="32"/>
          <w:u w:val="none"/>
          <w14:textFill>
            <w14:solidFill>
              <w14:schemeClr w14:val="tx1"/>
            </w14:solidFill>
          </w14:textFill>
        </w:rPr>
        <w:t>公务用车购置支出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万元，完成</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较</w:t>
      </w:r>
      <w:r>
        <w:rPr>
          <w:rFonts w:hint="eastAsia" w:ascii="仿宋_GB2312" w:eastAsia="仿宋_GB2312"/>
          <w:color w:val="000000" w:themeColor="text1"/>
          <w:kern w:val="0"/>
          <w:sz w:val="32"/>
          <w:szCs w:val="32"/>
          <w:u w:val="none"/>
          <w:lang w:val="en-US" w:eastAsia="zh-CN"/>
          <w14:textFill>
            <w14:solidFill>
              <w14:schemeClr w14:val="tx1"/>
            </w14:solidFill>
          </w14:textFill>
        </w:rPr>
        <w:t>2023</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olor w:val="000000" w:themeColor="text1"/>
          <w:kern w:val="0"/>
          <w:sz w:val="32"/>
          <w:szCs w:val="32"/>
          <w:u w:val="none"/>
          <w14:textFill>
            <w14:solidFill>
              <w14:schemeClr w14:val="tx1"/>
            </w14:solidFill>
          </w14:textFill>
        </w:rPr>
        <w:t>增加0万元</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增长0%</w:t>
      </w:r>
      <w:r>
        <w:rPr>
          <w:rFonts w:hint="eastAsia" w:ascii="仿宋_GB2312" w:eastAsia="仿宋_GB2312" w:cs="仿宋_GB2312"/>
          <w:color w:val="000000" w:themeColor="text1"/>
          <w:kern w:val="0"/>
          <w:sz w:val="32"/>
          <w:szCs w:val="32"/>
          <w:u w:val="none"/>
          <w:lang w:eastAsia="zh-CN"/>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本年度没有该项支出</w:t>
      </w:r>
      <w:r>
        <w:rPr>
          <w:rFonts w:hint="eastAsia" w:ascii="仿宋_GB2312" w:eastAsia="仿宋_GB2312" w:cs="仿宋_GB2312"/>
          <w:color w:val="000000" w:themeColor="text1"/>
          <w:kern w:val="0"/>
          <w:sz w:val="32"/>
          <w:szCs w:val="32"/>
          <w:u w:val="none"/>
          <w14:textFill>
            <w14:solidFill>
              <w14:schemeClr w14:val="tx1"/>
            </w14:solidFill>
          </w14:textFill>
        </w:rPr>
        <w:t>。购置了</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辆公务用车</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36D1549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kern w:val="0"/>
          <w:sz w:val="32"/>
          <w:szCs w:val="32"/>
        </w:rPr>
        <w:t>公务用车运行支出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万元，完成</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%，比</w:t>
      </w:r>
      <w:r>
        <w:rPr>
          <w:rFonts w:hint="eastAsia" w:ascii="仿宋_GB2312" w:eastAsia="仿宋_GB2312"/>
          <w:color w:val="000000" w:themeColor="text1"/>
          <w:kern w:val="0"/>
          <w:sz w:val="32"/>
          <w:szCs w:val="32"/>
          <w:u w:val="none"/>
          <w:lang w:val="en-US" w:eastAsia="zh-CN"/>
          <w14:textFill>
            <w14:solidFill>
              <w14:schemeClr w14:val="tx1"/>
            </w14:solidFill>
          </w14:textFill>
        </w:rPr>
        <w:t>2023</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olor w:val="000000" w:themeColor="text1"/>
          <w:kern w:val="0"/>
          <w:sz w:val="32"/>
          <w:szCs w:val="32"/>
          <w:u w:val="none"/>
          <w14:textFill>
            <w14:solidFill>
              <w14:schemeClr w14:val="tx1"/>
            </w14:solidFill>
          </w14:textFill>
        </w:rPr>
        <w:t>增加0万元</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增长0%</w:t>
      </w:r>
      <w:r>
        <w:rPr>
          <w:rFonts w:hint="eastAsia" w:ascii="仿宋_GB2312" w:eastAsia="仿宋_GB2312" w:cs="仿宋_GB2312"/>
          <w:color w:val="000000" w:themeColor="text1"/>
          <w:kern w:val="0"/>
          <w:sz w:val="32"/>
          <w:szCs w:val="32"/>
          <w:u w:val="none"/>
          <w:lang w:eastAsia="zh-CN"/>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本年度没有该项支出</w:t>
      </w:r>
      <w:r>
        <w:rPr>
          <w:rFonts w:hint="eastAsia" w:ascii="仿宋_GB2312" w:eastAsia="仿宋_GB2312" w:cs="仿宋_GB2312"/>
          <w:color w:val="000000" w:themeColor="text1"/>
          <w:kern w:val="0"/>
          <w:sz w:val="32"/>
          <w:szCs w:val="32"/>
          <w:u w:val="none"/>
          <w14:textFill>
            <w14:solidFill>
              <w14:schemeClr w14:val="tx1"/>
            </w14:solidFill>
          </w14:textFill>
        </w:rPr>
        <w:t>。主要用于机要文件交换、市内因公出行以及开展业务所需车辆燃料费、维修费、过路过桥费、保险费等。</w:t>
      </w:r>
    </w:p>
    <w:p w14:paraId="42C60C5A">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百色市信访局</w:t>
      </w:r>
      <w:r>
        <w:rPr>
          <w:rFonts w:hint="eastAsia" w:ascii="仿宋_GB2312" w:hAnsi="黑体" w:eastAsia="仿宋_GB2312"/>
          <w:bCs/>
          <w:color w:val="000000"/>
          <w:sz w:val="32"/>
          <w:szCs w:val="32"/>
        </w:rPr>
        <w:t>开支财政拨款的公务用车保有量为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辆，全年运行费支出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万元，平均每辆</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sz w:val="32"/>
          <w:szCs w:val="32"/>
        </w:rPr>
        <w:t>万元。</w:t>
      </w:r>
    </w:p>
    <w:p w14:paraId="7C5BF2C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3C3F225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olor w:val="000000" w:themeColor="text1"/>
          <w:kern w:val="0"/>
          <w:sz w:val="32"/>
          <w:szCs w:val="32"/>
          <w:u w:val="none"/>
          <w14:textFill>
            <w14:solidFill>
              <w14:schemeClr w14:val="tx1"/>
            </w14:solidFill>
          </w14:textFill>
        </w:rPr>
        <w:t>0.16</w:t>
      </w:r>
      <w:r>
        <w:rPr>
          <w:rFonts w:hint="eastAsia" w:ascii="仿宋_GB2312" w:eastAsia="仿宋_GB2312" w:cs="仿宋_GB2312"/>
          <w:kern w:val="0"/>
          <w:sz w:val="32"/>
          <w:szCs w:val="32"/>
        </w:rPr>
        <w:t>万元，</w:t>
      </w:r>
      <w:r>
        <w:rPr>
          <w:rFonts w:hint="eastAsia" w:ascii="仿宋_GB2312" w:eastAsia="仿宋_GB2312" w:cs="仿宋_GB2312"/>
          <w:color w:val="000000" w:themeColor="text1"/>
          <w:kern w:val="0"/>
          <w:sz w:val="32"/>
          <w:szCs w:val="32"/>
          <w:u w:val="none"/>
          <w14:textFill>
            <w14:solidFill>
              <w14:schemeClr w14:val="tx1"/>
            </w14:solidFill>
          </w14:textFill>
        </w:rPr>
        <w:t>完成</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84.2</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较2023</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s="仿宋_GB2312"/>
          <w:color w:val="000000" w:themeColor="text1"/>
          <w:kern w:val="0"/>
          <w:sz w:val="32"/>
          <w:szCs w:val="32"/>
          <w:u w:val="none"/>
          <w14:textFill>
            <w14:solidFill>
              <w14:schemeClr w14:val="tx1"/>
            </w14:solidFill>
          </w14:textFill>
        </w:rPr>
        <w:t>减少0.03万元，原因是</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单位严格执行中央八项规定及厉行节约相关要求，进一步压缩公务接待规模，减少非必要的公务接待活动</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kern w:val="0"/>
          <w:sz w:val="32"/>
          <w:szCs w:val="32"/>
        </w:rPr>
        <w:t>国内公务接待</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批次，</w:t>
      </w:r>
      <w:r>
        <w:rPr>
          <w:rFonts w:hint="eastAsia" w:ascii="仿宋_GB2312" w:eastAsia="仿宋_GB2312" w:cs="仿宋_GB2312"/>
          <w:kern w:val="0"/>
          <w:sz w:val="32"/>
          <w:szCs w:val="32"/>
          <w:lang w:val="en-US" w:eastAsia="zh-CN"/>
        </w:rPr>
        <w:t>16</w:t>
      </w:r>
      <w:r>
        <w:rPr>
          <w:rFonts w:hint="eastAsia" w:ascii="仿宋_GB2312" w:eastAsia="仿宋_GB2312" w:cs="仿宋_GB2312"/>
          <w:kern w:val="0"/>
          <w:sz w:val="32"/>
          <w:szCs w:val="32"/>
        </w:rPr>
        <w:t>人次，国（境）外公务接待</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人次</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675BA66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099ABA94">
      <w:pPr>
        <w:autoSpaceDE w:val="0"/>
        <w:autoSpaceDN w:val="0"/>
        <w:adjustRightInd w:val="0"/>
        <w:spacing w:line="560" w:lineRule="exact"/>
        <w:ind w:firstLine="627" w:firstLineChars="196"/>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10EB6332">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48B059BE">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kern w:val="0"/>
          <w:sz w:val="32"/>
          <w:szCs w:val="32"/>
        </w:rPr>
        <w:t>本部门</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年度机关运行经费支出</w:t>
      </w:r>
      <w:r>
        <w:rPr>
          <w:rFonts w:hint="eastAsia" w:ascii="仿宋_GB2312" w:eastAsia="仿宋_GB2312"/>
          <w:color w:val="000000" w:themeColor="text1"/>
          <w:kern w:val="0"/>
          <w:sz w:val="32"/>
          <w:szCs w:val="32"/>
          <w:u w:val="none"/>
          <w14:textFill>
            <w14:solidFill>
              <w14:schemeClr w14:val="tx1"/>
            </w14:solidFill>
          </w14:textFill>
        </w:rPr>
        <w:t>28.23</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eastAsia="zh-CN"/>
        </w:rPr>
        <w:t>比年初预算数增长0万元</w:t>
      </w:r>
      <w:r>
        <w:rPr>
          <w:rFonts w:hint="eastAsia" w:ascii="仿宋_GB2312" w:eastAsia="仿宋_GB2312" w:cs="仿宋_GB2312"/>
          <w:kern w:val="0"/>
          <w:sz w:val="32"/>
          <w:szCs w:val="32"/>
          <w:lang w:val="en-US" w:eastAsia="zh-CN"/>
        </w:rPr>
        <w:t>，比上年</w:t>
      </w:r>
      <w:r>
        <w:rPr>
          <w:rFonts w:hint="eastAsia" w:ascii="仿宋_GB2312" w:eastAsia="仿宋_GB2312"/>
          <w:color w:val="000000" w:themeColor="text1"/>
          <w:kern w:val="0"/>
          <w:sz w:val="32"/>
          <w:szCs w:val="32"/>
          <w:u w:val="none"/>
          <w14:textFill>
            <w14:solidFill>
              <w14:schemeClr w14:val="tx1"/>
            </w14:solidFill>
          </w14:textFill>
        </w:rPr>
        <w:t>决算数34.23万元减少6.00万元，下降17.5%</w:t>
      </w:r>
      <w:r>
        <w:rPr>
          <w:rFonts w:hint="eastAsia" w:ascii="仿宋_GB2312" w:eastAsia="仿宋_GB2312" w:cs="仿宋_GB2312"/>
          <w:kern w:val="0"/>
          <w:sz w:val="32"/>
          <w:szCs w:val="32"/>
          <w:lang w:val="en-US" w:eastAsia="zh-CN"/>
        </w:rPr>
        <w:t>，</w:t>
      </w:r>
      <w:r>
        <w:rPr>
          <w:rFonts w:hint="eastAsia" w:ascii="仿宋_GB2312" w:eastAsia="仿宋_GB2312" w:cs="仿宋_GB2312"/>
          <w:color w:val="000000" w:themeColor="text1"/>
          <w:kern w:val="0"/>
          <w:sz w:val="32"/>
          <w:szCs w:val="32"/>
          <w:u w:val="none"/>
          <w14:textFill>
            <w14:solidFill>
              <w14:schemeClr w14:val="tx1"/>
            </w14:solidFill>
          </w14:textFill>
        </w:rPr>
        <w:t>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积极响应国家关于政府部门过紧日子的号召，严格落实各项节约举措。在日常办公中，大力倡导节约用纸、用电、用水，减少办公用品的浪费；合理规划办公资源，避免不必要的采购与支出</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4C26F451">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14:paraId="588E9314">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1B0DFDF6">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color w:val="000000" w:themeColor="text1"/>
          <w:kern w:val="0"/>
          <w:sz w:val="32"/>
          <w:szCs w:val="32"/>
          <w:u w:val="none"/>
          <w14:textFill>
            <w14:solidFill>
              <w14:schemeClr w14:val="tx1"/>
            </w14:solidFill>
          </w14:textFill>
        </w:rPr>
        <w:t>本部门</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年度政府采购支出总额</w:t>
      </w:r>
      <w:r>
        <w:rPr>
          <w:rFonts w:hint="eastAsia" w:ascii="仿宋_GB2312" w:eastAsia="仿宋_GB2312"/>
          <w:color w:val="000000" w:themeColor="text1"/>
          <w:kern w:val="0"/>
          <w:sz w:val="32"/>
          <w:szCs w:val="32"/>
          <w:u w:val="none"/>
          <w14:textFill>
            <w14:solidFill>
              <w14:schemeClr w14:val="tx1"/>
            </w14:solidFill>
          </w14:textFill>
        </w:rPr>
        <w:t>86.38</w:t>
      </w:r>
      <w:r>
        <w:rPr>
          <w:rFonts w:hint="eastAsia" w:ascii="仿宋_GB2312" w:eastAsia="仿宋_GB2312" w:cs="仿宋_GB2312"/>
          <w:color w:val="000000" w:themeColor="text1"/>
          <w:kern w:val="0"/>
          <w:sz w:val="32"/>
          <w:szCs w:val="32"/>
          <w:u w:val="none"/>
          <w14:textFill>
            <w14:solidFill>
              <w14:schemeClr w14:val="tx1"/>
            </w14:solidFill>
          </w14:textFill>
        </w:rPr>
        <w:t>万元，其中：政府采购货物支出</w:t>
      </w:r>
      <w:r>
        <w:rPr>
          <w:rFonts w:hint="eastAsia" w:ascii="仿宋_GB2312" w:eastAsia="仿宋_GB2312"/>
          <w:color w:val="000000" w:themeColor="text1"/>
          <w:kern w:val="0"/>
          <w:sz w:val="32"/>
          <w:szCs w:val="32"/>
          <w:u w:val="none"/>
          <w14:textFill>
            <w14:solidFill>
              <w14:schemeClr w14:val="tx1"/>
            </w14:solidFill>
          </w14:textFill>
        </w:rPr>
        <w:t>77.36</w:t>
      </w:r>
      <w:r>
        <w:rPr>
          <w:rFonts w:hint="eastAsia" w:ascii="仿宋_GB2312" w:eastAsia="仿宋_GB2312" w:cs="仿宋_GB2312"/>
          <w:color w:val="000000" w:themeColor="text1"/>
          <w:kern w:val="0"/>
          <w:sz w:val="32"/>
          <w:szCs w:val="32"/>
          <w:u w:val="none"/>
          <w14:textFill>
            <w14:solidFill>
              <w14:schemeClr w14:val="tx1"/>
            </w14:solidFill>
          </w14:textFill>
        </w:rPr>
        <w:t>万元、政府采购工程支出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万元、政府采购服务支出</w:t>
      </w:r>
      <w:r>
        <w:rPr>
          <w:rFonts w:hint="eastAsia" w:ascii="仿宋_GB2312" w:eastAsia="仿宋_GB2312"/>
          <w:color w:val="000000" w:themeColor="text1"/>
          <w:kern w:val="0"/>
          <w:sz w:val="32"/>
          <w:szCs w:val="32"/>
          <w:u w:val="none"/>
          <w14:textFill>
            <w14:solidFill>
              <w14:schemeClr w14:val="tx1"/>
            </w14:solidFill>
          </w14:textFill>
        </w:rPr>
        <w:t>9.02</w:t>
      </w:r>
      <w:r>
        <w:rPr>
          <w:rFonts w:hint="eastAsia" w:ascii="仿宋_GB2312" w:eastAsia="仿宋_GB2312" w:cs="仿宋_GB2312"/>
          <w:color w:val="000000" w:themeColor="text1"/>
          <w:kern w:val="0"/>
          <w:sz w:val="32"/>
          <w:szCs w:val="32"/>
          <w:u w:val="none"/>
          <w14:textFill>
            <w14:solidFill>
              <w14:schemeClr w14:val="tx1"/>
            </w14:solidFill>
          </w14:textFill>
        </w:rPr>
        <w:t>万元。授予中小企业合同金额</w:t>
      </w:r>
      <w:r>
        <w:rPr>
          <w:rFonts w:hint="eastAsia" w:ascii="仿宋_GB2312" w:eastAsia="仿宋_GB2312"/>
          <w:color w:val="000000" w:themeColor="text1"/>
          <w:kern w:val="0"/>
          <w:sz w:val="32"/>
          <w:szCs w:val="32"/>
          <w:u w:val="none"/>
          <w14:textFill>
            <w14:solidFill>
              <w14:schemeClr w14:val="tx1"/>
            </w14:solidFill>
          </w14:textFill>
        </w:rPr>
        <w:t>86.38</w:t>
      </w:r>
      <w:r>
        <w:rPr>
          <w:rFonts w:hint="eastAsia" w:ascii="仿宋_GB2312" w:eastAsia="仿宋_GB2312" w:cs="仿宋_GB2312"/>
          <w:color w:val="000000" w:themeColor="text1"/>
          <w:kern w:val="0"/>
          <w:sz w:val="32"/>
          <w:szCs w:val="32"/>
          <w:u w:val="none"/>
          <w14:textFill>
            <w14:solidFill>
              <w14:schemeClr w14:val="tx1"/>
            </w14:solidFill>
          </w14:textFill>
        </w:rPr>
        <w:t>万元，占政府采购支出总额的</w:t>
      </w:r>
      <w:r>
        <w:rPr>
          <w:rFonts w:hint="eastAsia" w:ascii="仿宋_GB2312" w:eastAsia="仿宋_GB2312"/>
          <w:color w:val="000000" w:themeColor="text1"/>
          <w:kern w:val="0"/>
          <w:sz w:val="32"/>
          <w:szCs w:val="32"/>
          <w:u w:val="none"/>
          <w14:textFill>
            <w14:solidFill>
              <w14:schemeClr w14:val="tx1"/>
            </w14:solidFill>
          </w14:textFill>
        </w:rPr>
        <w:t>100</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rPr>
        <w:t>86.38</w:t>
      </w:r>
      <w:r>
        <w:rPr>
          <w:rFonts w:hint="eastAsia" w:ascii="仿宋_GB2312" w:eastAsia="仿宋_GB2312" w:cs="仿宋_GB2312"/>
          <w:kern w:val="0"/>
          <w:sz w:val="32"/>
          <w:szCs w:val="32"/>
        </w:rPr>
        <w:t>万元，占授予中小企业合同金额的</w:t>
      </w:r>
      <w:r>
        <w:rPr>
          <w:rFonts w:hint="eastAsia" w:ascii="仿宋_GB2312" w:eastAsia="仿宋_GB2312" w:cs="仿宋_GB2312"/>
          <w:kern w:val="0"/>
          <w:sz w:val="32"/>
          <w:szCs w:val="32"/>
        </w:rPr>
        <w:t>100</w:t>
      </w:r>
      <w:r>
        <w:rPr>
          <w:rFonts w:hint="eastAsia" w:ascii="仿宋_GB2312" w:eastAsia="仿宋_GB2312" w:cs="仿宋_GB2312"/>
          <w:kern w:val="0"/>
          <w:sz w:val="32"/>
          <w:szCs w:val="32"/>
        </w:rPr>
        <w:t>%；</w:t>
      </w:r>
      <w:r>
        <w:rPr>
          <w:rFonts w:hint="eastAsia" w:ascii="仿宋_GB2312" w:hAnsi="Times New Roman" w:eastAsia="仿宋_GB2312" w:cs="仿宋_GB2312"/>
          <w:kern w:val="0"/>
          <w:sz w:val="32"/>
          <w:szCs w:val="32"/>
          <w:highlight w:val="none"/>
        </w:rPr>
        <w:t>货物采购授予中小企业合同金额占货物支出金额额</w:t>
      </w:r>
      <w:r>
        <w:rPr>
          <w:rFonts w:hint="eastAsia" w:ascii="仿宋_GB2312" w:hAnsi="Times New Roman" w:eastAsia="仿宋_GB2312" w:cs="仿宋_GB2312"/>
          <w:kern w:val="0"/>
          <w:sz w:val="32"/>
          <w:szCs w:val="32"/>
          <w:highlight w:val="none"/>
        </w:rPr>
        <w:t>100</w:t>
      </w:r>
      <w:r>
        <w:rPr>
          <w:rFonts w:hint="eastAsia" w:ascii="仿宋_GB2312" w:hAnsi="Times New Roman" w:eastAsia="仿宋_GB2312" w:cs="仿宋_GB2312"/>
          <w:kern w:val="0"/>
          <w:sz w:val="32"/>
          <w:szCs w:val="32"/>
          <w:highlight w:val="none"/>
          <w:lang w:val="en-US" w:eastAsia="zh-CN"/>
        </w:rPr>
        <w:t xml:space="preserve"> </w:t>
      </w:r>
      <w:r>
        <w:rPr>
          <w:rFonts w:hint="eastAsia" w:ascii="仿宋_GB2312" w:hAnsi="Times New Roman" w:eastAsia="仿宋_GB2312" w:cs="仿宋_GB2312"/>
          <w:kern w:val="0"/>
          <w:sz w:val="32"/>
          <w:szCs w:val="32"/>
          <w:highlight w:val="none"/>
        </w:rPr>
        <w:t>%；工程采购授予中小企业合同金额占工程支出金额的</w:t>
      </w:r>
      <w:r>
        <w:rPr>
          <w:rFonts w:hint="eastAsia" w:ascii="仿宋_GB2312" w:hAnsi="Times New Roman" w:eastAsia="仿宋_GB2312" w:cs="仿宋_GB2312"/>
          <w:kern w:val="0"/>
          <w:sz w:val="32"/>
          <w:szCs w:val="32"/>
          <w:highlight w:val="none"/>
        </w:rPr>
        <w:t>0</w:t>
      </w:r>
      <w:r>
        <w:rPr>
          <w:rFonts w:hint="eastAsia" w:ascii="仿宋_GB2312" w:hAnsi="Times New Roman" w:eastAsia="仿宋_GB2312" w:cs="仿宋_GB2312"/>
          <w:kern w:val="0"/>
          <w:sz w:val="32"/>
          <w:szCs w:val="32"/>
          <w:highlight w:val="none"/>
        </w:rPr>
        <w:t>%；服务采购授予中小企业合同金额占服务支出金额的</w:t>
      </w:r>
      <w:r>
        <w:rPr>
          <w:rFonts w:hint="eastAsia" w:ascii="仿宋_GB2312" w:hAnsi="Times New Roman" w:eastAsia="仿宋_GB2312" w:cs="仿宋_GB2312"/>
          <w:kern w:val="0"/>
          <w:sz w:val="32"/>
          <w:szCs w:val="32"/>
          <w:highlight w:val="none"/>
        </w:rPr>
        <w:t>100</w:t>
      </w:r>
      <w:r>
        <w:rPr>
          <w:rFonts w:hint="eastAsia" w:ascii="仿宋_GB2312" w:hAnsi="Times New Roman" w:eastAsia="仿宋_GB2312" w:cs="仿宋_GB2312"/>
          <w:kern w:val="0"/>
          <w:sz w:val="32"/>
          <w:szCs w:val="32"/>
          <w:highlight w:val="none"/>
        </w:rPr>
        <w:t>%。</w:t>
      </w:r>
    </w:p>
    <w:p w14:paraId="5ED21471">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p>
    <w:p w14:paraId="06D85CB0">
      <w:pPr>
        <w:autoSpaceDE w:val="0"/>
        <w:autoSpaceDN w:val="0"/>
        <w:adjustRightInd w:val="0"/>
        <w:spacing w:line="560" w:lineRule="exact"/>
        <w:ind w:firstLine="640" w:firstLineChars="200"/>
        <w:jc w:val="left"/>
        <w:rPr>
          <w:rFonts w:hint="eastAsia" w:ascii="楷体_GB2312" w:eastAsia="楷体_GB2312" w:cs="仿宋_GB2312"/>
          <w:color w:val="000000" w:themeColor="text1"/>
          <w:kern w:val="0"/>
          <w:sz w:val="32"/>
          <w:szCs w:val="32"/>
          <w:u w:val="none"/>
          <w14:textFill>
            <w14:solidFill>
              <w14:schemeClr w14:val="tx1"/>
            </w14:solidFill>
          </w14:textFill>
        </w:rPr>
      </w:pPr>
      <w:r>
        <w:rPr>
          <w:rFonts w:hint="eastAsia" w:ascii="楷体_GB2312" w:eastAsia="楷体_GB2312" w:cs="仿宋_GB2312"/>
          <w:color w:val="000000" w:themeColor="text1"/>
          <w:kern w:val="0"/>
          <w:sz w:val="32"/>
          <w:szCs w:val="32"/>
          <w:u w:val="none"/>
          <w14:textFill>
            <w14:solidFill>
              <w14:schemeClr w14:val="tx1"/>
            </w14:solidFill>
          </w14:textFill>
        </w:rPr>
        <w:t>（三）国有资产占用情况说明</w:t>
      </w:r>
    </w:p>
    <w:p w14:paraId="4FA3FE35">
      <w:pPr>
        <w:autoSpaceDE w:val="0"/>
        <w:autoSpaceDN w:val="0"/>
        <w:adjustRightInd w:val="0"/>
        <w:spacing w:line="560" w:lineRule="exact"/>
        <w:ind w:firstLine="640" w:firstLineChars="200"/>
        <w:jc w:val="left"/>
        <w:rPr>
          <w:rFonts w:hint="eastAsia" w:ascii="仿宋_GB2312" w:eastAsia="仿宋_GB2312" w:cs="仿宋_GB2312"/>
          <w:b/>
          <w:kern w:val="0"/>
          <w:sz w:val="32"/>
          <w:szCs w:val="32"/>
        </w:rPr>
      </w:pPr>
      <w:r>
        <w:rPr>
          <w:rFonts w:hint="eastAsia" w:ascii="仿宋_GB2312" w:eastAsia="仿宋_GB2312" w:cs="仿宋_GB2312"/>
          <w:color w:val="000000" w:themeColor="text1"/>
          <w:kern w:val="0"/>
          <w:sz w:val="32"/>
          <w:szCs w:val="32"/>
          <w:u w:val="none"/>
          <w14:textFill>
            <w14:solidFill>
              <w14:schemeClr w14:val="tx1"/>
            </w14:solidFill>
          </w14:textFill>
        </w:rPr>
        <w:t>截至</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年12月31日，本部门共有车辆</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辆，其中：</w:t>
      </w:r>
      <w:r>
        <w:rPr>
          <w:rFonts w:hint="eastAsia" w:ascii="仿宋_GB2312" w:eastAsia="仿宋_GB2312"/>
          <w:color w:val="000000" w:themeColor="text1"/>
          <w:kern w:val="0"/>
          <w:sz w:val="32"/>
          <w:szCs w:val="32"/>
          <w:u w:val="none"/>
          <w:lang w:val="en-US" w:eastAsia="zh-CN"/>
          <w14:textFill>
            <w14:solidFill>
              <w14:schemeClr w14:val="tx1"/>
            </w14:solidFill>
          </w14:textFill>
        </w:rPr>
        <w:t>副部（省）级领导干部用车0辆、机要通信用车0辆、应急保障用车0辆、执法执勤用车0辆、特种专业技术用车0辆、其他用车0辆</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kern w:val="0"/>
          <w:sz w:val="32"/>
          <w:szCs w:val="32"/>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单位价值100万元以上设备(不含车辆)0台(套)</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433257FD">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59548ABD">
      <w:pPr>
        <w:autoSpaceDE w:val="0"/>
        <w:autoSpaceDN w:val="0"/>
        <w:adjustRightInd w:val="0"/>
        <w:spacing w:line="560" w:lineRule="exact"/>
        <w:ind w:firstLine="627" w:firstLineChars="196"/>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lang w:val="en-US" w:eastAsia="zh-CN"/>
        </w:rPr>
        <w:t>八</w:t>
      </w:r>
      <w:r>
        <w:rPr>
          <w:rFonts w:hint="eastAsia" w:ascii="黑体" w:hAnsi="黑体" w:eastAsia="黑体" w:cs="仿宋_GB2312"/>
          <w:kern w:val="0"/>
          <w:sz w:val="32"/>
          <w:szCs w:val="32"/>
        </w:rPr>
        <w:t>、预算绩效管理工作开展情况</w:t>
      </w:r>
    </w:p>
    <w:p w14:paraId="0BDE65E0">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1.整体支出绩效自评结果。</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我部门2024年度部门预算数1068.15万元，执行数1032.92万元，整体支出绩效自评结果为二等。从自评情况来看，主要产出目标方面，全年按计划完成核心工作任务，深入开展信访问题源头治理、重点信访事项化解、信访业务规范化、领导接访下访等工作，实现信访事项及时受理率等核心数据指标达100%，源头治理成效良好，为维护全市社会大局稳定作出了积极贡献。效果目标方面，通过资金的合理投入，实现了预期成效。部门年度核心业务业务效率显著提高，服务对象满意度调查得分94分（满分100分），反馈良好，服务质量得到认可，资金使用严格遵循财务制度，无超支、违规支出情况，实现了财政资金的安全、高效利用。</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xml:space="preserve">  </w:t>
      </w:r>
    </w:p>
    <w:p w14:paraId="032F430F">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2.项目支出绩效自评结果。</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2D5602C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（1）项目绩效自评总体情况：我部门2024年度项目9个，项目支出总额572.52万元。其中，本级项目9个，本级项目支出572.52万元。</w:t>
      </w:r>
    </w:p>
    <w:p w14:paraId="7410D5C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所有项目均开展了绩效自评，其中非敏感涉密项目绩效自评结果为：6个项目评为一等，涉及资金42.59万元，占项目总数比例7.44%，占项目支出总额比例7.44%；3个项目评为二等，涉及资金529.93万元，占项目总数比例92.56%，占项目支出总额比例92.56%；0个项目评为三等，涉及资金0万元，占项目总数比例0%，占项目支出总额比例0%；0个项目评为四等，涉及资金0万元，占项目总数比例0%，占项目支出总额比例0%。自评发现的主要问题及原因：一是预算编制精准度不足，部分项目因前期调研不充分，预算与实际支出存在偏差，导致预算执行率不均衡；二是绩效指标设置科学性待提升，个别绩效指标未能充分体现部门职能和项目特点，量化不够准确，难以全面、准确衡量工作成效。下一步改进措施：一是加强预算编制管理，提前谋划下年度工作，开展项目可行性研究和成本效益分析，结合历史数据与实际需求，科学合理编制预算，提高预算编制精准度；二是优化绩效指标体系，根据部门职能和工作重点，进一步细化、量化绩效指标，增强指标的针对性和可操作性，确保指标能真实反映工作绩效。</w:t>
      </w:r>
    </w:p>
    <w:p w14:paraId="5C42A3A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（2）部分重点项目绩效自评情况：</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根据年初设定的绩效目标，信访业务中央补助资金项目自评得分为96.78分，一等，项目全年预算数为23.6万元，执行数为16万元，完成预算的67.8%。项目绩效目标完成情况：一是信访事项办理效率提升；二是信访矛盾化解成效显著。自评发现的主要问题及原因：一是预算执行进度未达预期；二是绩效指标细化程度不足。下一步改进措施：一是优化预算执行管理；二是完善绩效指标体系。</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5CFA71A8">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3.部门绩效评价结果。</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5C945809">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组织对“信访服务中心项目建设经费”等9个重点项目进行了部门评价，评价结果为二等，涉及资金572.52万元。从评价情况来看，9个项目均较好完成年初设定的绩效目标：一是项目执行规范，资金使用严格遵循财政管理制度，资金支付程序完整、凭证齐全；二是项目成效显著，均按要求开展绩效监控和自评，及时调整偏差，确保项目朝着预期目标推进。</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1811A6F1">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4.财政绩效评价结果。</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7FD4513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百色市财政局组织对“信访服务中心项目建设经费”等9个项目开展了绩效评价，评价结果为二等，涉及资金572.52万元。从评价情况来看，9个项目均较好完成年初设定的绩效目标：一是项目执行规范，资金使用严格遵循财政管理制度，资金支付程序完整、凭证齐全；二是项目成效显著，均按要求开展绩效监控和自评，及时调整偏差，确保项目朝着预期目标推进。</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2C77AA28">
      <w:pPr>
        <w:autoSpaceDE w:val="0"/>
        <w:autoSpaceDN w:val="0"/>
        <w:adjustRightInd w:val="0"/>
        <w:spacing w:line="560" w:lineRule="exact"/>
        <w:ind w:firstLine="5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ascii="Helvetica" w:hAnsi="Helvetica" w:eastAsia="Helvetica" w:cs="Helvetica"/>
          <w:i w:val="0"/>
          <w:iCs w:val="0"/>
          <w:caps w:val="0"/>
          <w:color w:val="303133"/>
          <w:spacing w:val="0"/>
          <w:sz w:val="27"/>
          <w:szCs w:val="27"/>
          <w:shd w:val="clear" w:fill="FFFFFF"/>
        </w:rPr>
        <w:t>（说明：八、预算绩效管理工作开展情况，资金统计口径均为财政资金。）</w:t>
      </w:r>
    </w:p>
    <w:p w14:paraId="79B943E9">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p>
    <w:p w14:paraId="2A65DCE5">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p>
    <w:p w14:paraId="365C4CA8">
      <w:pPr>
        <w:keepNext w:val="0"/>
        <w:keepLines w:val="0"/>
        <w:pageBreakBefore/>
        <w:widowControl w:val="0"/>
        <w:kinsoku/>
        <w:wordWrap/>
        <w:overflowPunct/>
        <w:topLinePunct w:val="0"/>
        <w:autoSpaceDE w:val="0"/>
        <w:autoSpaceDN w:val="0"/>
        <w:bidi w:val="0"/>
        <w:adjustRightInd w:val="0"/>
        <w:snapToGrid/>
        <w:spacing w:line="560" w:lineRule="exact"/>
        <w:jc w:val="center"/>
        <w:textAlignment w:val="auto"/>
        <w:outlineLvl w:val="0"/>
        <w:rPr>
          <w:rFonts w:hint="eastAsia" w:ascii="黑体" w:hAnsi="黑体" w:eastAsia="黑体" w:cs="仿宋_GB2312"/>
          <w:kern w:val="0"/>
          <w:sz w:val="32"/>
          <w:szCs w:val="32"/>
        </w:rPr>
      </w:pPr>
      <w:r>
        <w:rPr>
          <w:rFonts w:hint="eastAsia" w:ascii="黑体" w:hAnsi="黑体" w:eastAsia="黑体" w:cs="仿宋_GB2312"/>
          <w:kern w:val="0"/>
          <w:sz w:val="32"/>
          <w:szCs w:val="32"/>
        </w:rPr>
        <w:t>第四部分  名词解释</w:t>
      </w:r>
    </w:p>
    <w:p w14:paraId="70FF1D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w:r>
      <w:r>
        <w:rPr>
          <w:rFonts w:hint="eastAsia" w:ascii="仿宋_GB2312" w:eastAsia="仿宋_GB2312"/>
          <w:sz w:val="32"/>
          <w:szCs w:val="32"/>
        </w:rPr>
        <w:t/>
      </w:r>
      <w:r>
        <w:rPr>
          <w:rFonts w:hint="eastAsia" w:ascii="仿宋_GB2312" w:eastAsia="仿宋_GB2312"/>
          <w:sz w:val="32"/>
          <w:szCs w:val="32"/>
          <w:lang w:val="en-US" w:eastAsia="zh-CN"/>
        </w:rPr>
        <w:t>一、 财政拨款收入</w:t>
      </w:r>
      <w:r>
        <w:rPr>
          <w:rFonts w:hint="eastAsia" w:ascii="仿宋_GB2312" w:eastAsia="仿宋_GB2312"/>
          <w:sz w:val="32"/>
          <w:szCs w:val="32"/>
        </w:rPr>
        <w:t>：</w:t>
      </w:r>
      <w:r>
        <w:rPr>
          <w:rFonts w:hint="eastAsia" w:ascii="仿宋_GB2312" w:eastAsia="仿宋_GB2312"/>
          <w:sz w:val="32"/>
          <w:szCs w:val="32"/>
          <w:lang w:val="en-US" w:eastAsia="zh-CN"/>
        </w:rPr>
        <w:t>指财政当年拨付的资金。包括一般公共预算财政拨款和政府性基金预算财政拨款</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二、 上级补助收入</w:t>
      </w:r>
      <w:r>
        <w:rPr>
          <w:rFonts w:hint="eastAsia" w:ascii="仿宋_GB2312" w:eastAsia="仿宋_GB2312"/>
          <w:sz w:val="32"/>
          <w:szCs w:val="32"/>
        </w:rPr>
        <w:t>：</w:t>
      </w:r>
      <w:r>
        <w:rPr>
          <w:rFonts w:hint="eastAsia" w:ascii="仿宋_GB2312" w:eastAsia="仿宋_GB2312"/>
          <w:sz w:val="32"/>
          <w:szCs w:val="32"/>
          <w:lang w:val="en-US" w:eastAsia="zh-CN"/>
        </w:rPr>
        <w:t>指事业单位从主管部门和上级单位取得的非财政补助收入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三、 事业收入</w:t>
      </w:r>
      <w:r>
        <w:rPr>
          <w:rFonts w:hint="eastAsia" w:ascii="仿宋_GB2312" w:eastAsia="仿宋_GB2312"/>
          <w:sz w:val="32"/>
          <w:szCs w:val="32"/>
        </w:rPr>
        <w:t>：</w:t>
      </w:r>
      <w:r>
        <w:rPr>
          <w:rFonts w:hint="eastAsia" w:ascii="仿宋_GB2312" w:eastAsia="仿宋_GB2312"/>
          <w:sz w:val="32"/>
          <w:szCs w:val="32"/>
          <w:lang w:val="en-US" w:eastAsia="zh-CN"/>
        </w:rPr>
        <w:t>指事业单位开展专业业务活动及辅助活动所取得的收入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四、 经营收入</w:t>
      </w:r>
      <w:r>
        <w:rPr>
          <w:rFonts w:hint="eastAsia" w:ascii="仿宋_GB2312" w:eastAsia="仿宋_GB2312"/>
          <w:sz w:val="32"/>
          <w:szCs w:val="32"/>
        </w:rPr>
        <w:t>：</w:t>
      </w:r>
      <w:r>
        <w:rPr>
          <w:rFonts w:hint="eastAsia" w:ascii="仿宋_GB2312" w:eastAsia="仿宋_GB2312"/>
          <w:sz w:val="32"/>
          <w:szCs w:val="32"/>
          <w:lang w:val="en-US" w:eastAsia="zh-CN"/>
        </w:rPr>
        <w:t>指事业单位在专业业务活动及其辅助活动之外开展非独立核算经营活动取得的收入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五、 附属单位上缴收入</w:t>
      </w:r>
      <w:r>
        <w:rPr>
          <w:rFonts w:hint="eastAsia" w:ascii="仿宋_GB2312" w:eastAsia="仿宋_GB2312"/>
          <w:sz w:val="32"/>
          <w:szCs w:val="32"/>
        </w:rPr>
        <w:t>：</w:t>
      </w:r>
      <w:r>
        <w:rPr>
          <w:rFonts w:hint="eastAsia" w:ascii="仿宋_GB2312" w:eastAsia="仿宋_GB2312"/>
          <w:sz w:val="32"/>
          <w:szCs w:val="32"/>
          <w:lang w:val="en-US" w:eastAsia="zh-CN"/>
        </w:rPr>
        <w:t>指事业单位附属独立核算单位按照有关规定上缴的收入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六、 其他收入</w:t>
      </w:r>
      <w:r>
        <w:rPr>
          <w:rFonts w:hint="eastAsia" w:ascii="仿宋_GB2312" w:eastAsia="仿宋_GB2312"/>
          <w:sz w:val="32"/>
          <w:szCs w:val="32"/>
        </w:rPr>
        <w:t>：</w:t>
      </w:r>
      <w:r>
        <w:rPr>
          <w:rFonts w:hint="eastAsia" w:ascii="仿宋_GB2312" w:eastAsia="仿宋_GB2312"/>
          <w:sz w:val="32"/>
          <w:szCs w:val="32"/>
          <w:lang w:val="en-US" w:eastAsia="zh-CN"/>
        </w:rPr>
        <w:t>指除上述“财政拨款收入”、“事业收入”、“经营收入”等以外的收入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七、 使用非财政拨款结余（含专用结余）</w:t>
      </w:r>
      <w:r>
        <w:rPr>
          <w:rFonts w:hint="eastAsia" w:ascii="仿宋_GB2312" w:eastAsia="仿宋_GB2312"/>
          <w:sz w:val="32"/>
          <w:szCs w:val="32"/>
        </w:rPr>
        <w:t>：</w:t>
      </w:r>
      <w:r>
        <w:rPr>
          <w:rFonts w:hint="eastAsia" w:ascii="仿宋_GB2312" w:eastAsia="仿宋_GB2312"/>
          <w:sz w:val="32"/>
          <w:szCs w:val="32"/>
          <w:lang w:val="en-US" w:eastAsia="zh-CN"/>
        </w:rPr>
        <w:t>指事业单位在当年的“财政拨款收入”“事业收入”“经营收入”“其他收入”不足以安排当年支出的情况下，使用非财政拨款结余、专用结余弥补本年度收支缺口的资金。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八、 年初结转和结余</w:t>
      </w:r>
      <w:r>
        <w:rPr>
          <w:rFonts w:hint="eastAsia" w:ascii="仿宋_GB2312" w:eastAsia="仿宋_GB2312"/>
          <w:sz w:val="32"/>
          <w:szCs w:val="32"/>
        </w:rPr>
        <w:t>：</w:t>
      </w:r>
      <w:r>
        <w:rPr>
          <w:rFonts w:hint="eastAsia" w:ascii="仿宋_GB2312" w:eastAsia="仿宋_GB2312"/>
          <w:sz w:val="32"/>
          <w:szCs w:val="32"/>
          <w:lang w:val="en-US" w:eastAsia="zh-CN"/>
        </w:rPr>
        <w:t>指以前年度尚未完成、结转到本年按有关规定继续使用的资金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九、 结余分配</w:t>
      </w:r>
      <w:r>
        <w:rPr>
          <w:rFonts w:hint="eastAsia" w:ascii="仿宋_GB2312" w:eastAsia="仿宋_GB2312"/>
          <w:sz w:val="32"/>
          <w:szCs w:val="32"/>
        </w:rPr>
        <w:t>：</w:t>
      </w:r>
      <w:r>
        <w:rPr>
          <w:rFonts w:hint="eastAsia" w:ascii="仿宋_GB2312" w:eastAsia="仿宋_GB2312"/>
          <w:sz w:val="32"/>
          <w:szCs w:val="32"/>
          <w:lang w:val="en-US" w:eastAsia="zh-CN"/>
        </w:rPr>
        <w:t>指事业单位按规定提取的职工福利基金、事业基金和缴纳的所得税，以及建设单位按规定应交回的基本建设竣工项目结余资金。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 年末结转和结余</w:t>
      </w:r>
      <w:r>
        <w:rPr>
          <w:rFonts w:hint="eastAsia" w:ascii="仿宋_GB2312" w:eastAsia="仿宋_GB2312"/>
          <w:sz w:val="32"/>
          <w:szCs w:val="32"/>
        </w:rPr>
        <w:t>：</w:t>
      </w:r>
      <w:r>
        <w:rPr>
          <w:rFonts w:hint="eastAsia" w:ascii="仿宋_GB2312" w:eastAsia="仿宋_GB2312"/>
          <w:sz w:val="32"/>
          <w:szCs w:val="32"/>
          <w:lang w:val="en-US" w:eastAsia="zh-CN"/>
        </w:rPr>
        <w:t>指本年度或以前年度预算安排、因客观条件发生变化无法按原计划实施，需要延迟到以后年度按有关规定继续使用的资金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十一、 基本支出</w:t>
      </w:r>
      <w:r>
        <w:rPr>
          <w:rFonts w:hint="eastAsia" w:ascii="仿宋_GB2312" w:eastAsia="仿宋_GB2312"/>
          <w:sz w:val="32"/>
          <w:szCs w:val="32"/>
        </w:rPr>
        <w:t>：</w:t>
      </w:r>
      <w:r>
        <w:rPr>
          <w:rFonts w:hint="eastAsia" w:ascii="仿宋_GB2312" w:eastAsia="仿宋_GB2312"/>
          <w:sz w:val="32"/>
          <w:szCs w:val="32"/>
          <w:lang w:val="en-US" w:eastAsia="zh-CN"/>
        </w:rPr>
        <w:t>指为保障机构正常运转、完成日常工作任务而发生的人员支出和公用支出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十二、 项目支出</w:t>
      </w:r>
      <w:r>
        <w:rPr>
          <w:rFonts w:hint="eastAsia" w:ascii="仿宋_GB2312" w:eastAsia="仿宋_GB2312"/>
          <w:sz w:val="32"/>
          <w:szCs w:val="32"/>
        </w:rPr>
        <w:t>：</w:t>
      </w:r>
      <w:r>
        <w:rPr>
          <w:rFonts w:hint="eastAsia" w:ascii="仿宋_GB2312" w:eastAsia="仿宋_GB2312"/>
          <w:sz w:val="32"/>
          <w:szCs w:val="32"/>
          <w:lang w:val="en-US" w:eastAsia="zh-CN"/>
        </w:rPr>
        <w:t>指在基本支出之外为完成特定行政任务和事业发展目标所发生的支出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十三、 经营支出</w:t>
      </w:r>
      <w:r>
        <w:rPr>
          <w:rFonts w:hint="eastAsia" w:ascii="仿宋_GB2312" w:eastAsia="仿宋_GB2312"/>
          <w:sz w:val="32"/>
          <w:szCs w:val="32"/>
        </w:rPr>
        <w:t>：</w:t>
      </w:r>
      <w:r>
        <w:rPr>
          <w:rFonts w:hint="eastAsia" w:ascii="仿宋_GB2312" w:eastAsia="仿宋_GB2312"/>
          <w:sz w:val="32"/>
          <w:szCs w:val="32"/>
          <w:lang w:val="en-US" w:eastAsia="zh-CN"/>
        </w:rPr>
        <w:t>指事业单位在专业业务活动及其辅助活动之外开展非独立核算经营活动所发生的支出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十四、 “三公”经费</w:t>
      </w:r>
      <w:r>
        <w:rPr>
          <w:rFonts w:hint="eastAsia" w:ascii="仿宋_GB2312" w:eastAsia="仿宋_GB2312"/>
          <w:sz w:val="32"/>
          <w:szCs w:val="32"/>
        </w:rPr>
        <w:t>：</w:t>
      </w:r>
      <w:r>
        <w:rPr>
          <w:rFonts w:hint="eastAsia" w:ascii="仿宋_GB2312" w:eastAsia="仿宋_GB2312"/>
          <w:sz w:val="32"/>
          <w:szCs w:val="32"/>
          <w:lang w:val="en-US" w:eastAsia="zh-CN"/>
        </w:rPr>
        <w:t>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十五、 机关运行经费</w:t>
      </w:r>
      <w:r>
        <w:rPr>
          <w:rFonts w:hint="eastAsia" w:ascii="仿宋_GB2312" w:eastAsia="仿宋_GB2312"/>
          <w:sz w:val="32"/>
          <w:szCs w:val="32"/>
        </w:rPr>
        <w:t>：</w:t>
      </w:r>
      <w:r>
        <w:rPr>
          <w:rFonts w:hint="eastAsia" w:ascii="仿宋_GB2312" w:eastAsia="仿宋_GB2312"/>
          <w:sz w:val="32"/>
          <w:szCs w:val="32"/>
          <w:lang w:val="en-US" w:eastAsia="zh-CN"/>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rPr>
        <w:t xml:space="preserve"> </w:t>
      </w:r>
      <w:r>
        <w:rPr>
          <w:rFonts w:hint="eastAsia" w:ascii="仿宋_GB2312" w:eastAsia="仿宋_GB2312"/>
          <w:sz w:val="32"/>
          <w:szCs w:val="32"/>
        </w:rPr>
        <w:t/>
      </w:r>
    </w:p>
    <w:sectPr>
      <w:footerReference r:id="rId3"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27EFB">
    <w:pPr>
      <w:pStyle w:val="3"/>
      <w:ind w:right="280"/>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w:t>
    </w:r>
  </w:p>
  <w:p w14:paraId="14ED2A9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AB187"/>
    <w:multiLevelType w:val="singleLevel"/>
    <w:tmpl w:val="E14AB187"/>
    <w:lvl w:ilvl="0" w:tentative="0">
      <w:start w:val="1"/>
      <w:numFmt w:val="chineseCounting"/>
      <w:suff w:val="nothing"/>
      <w:lvlText w:val="%1、"/>
      <w:lvlJc w:val="left"/>
      <w:rPr>
        <w:rFonts w:hint="eastAsia"/>
      </w:rPr>
    </w:lvl>
  </w:abstractNum>
  <w:abstractNum w:abstractNumId="51">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kZWMzNTJkZTc2YjU0YTIxOGQwN2RkZTIzYzY1YzEifQ=="/>
  </w:docVars>
  <w:rsids>
    <w:rsidRoot w:val="43C52D43"/>
    <w:rsid w:val="00010E81"/>
    <w:rsid w:val="0002561E"/>
    <w:rsid w:val="00135135"/>
    <w:rsid w:val="002E6413"/>
    <w:rsid w:val="007007DA"/>
    <w:rsid w:val="00707F33"/>
    <w:rsid w:val="007C2913"/>
    <w:rsid w:val="00A162FA"/>
    <w:rsid w:val="00AA63FD"/>
    <w:rsid w:val="01115B19"/>
    <w:rsid w:val="012E3DA7"/>
    <w:rsid w:val="012F05BA"/>
    <w:rsid w:val="013D31BF"/>
    <w:rsid w:val="01415BB9"/>
    <w:rsid w:val="015679D0"/>
    <w:rsid w:val="016E3662"/>
    <w:rsid w:val="017045B1"/>
    <w:rsid w:val="017D4F5C"/>
    <w:rsid w:val="018B771C"/>
    <w:rsid w:val="019B3634"/>
    <w:rsid w:val="01A668EB"/>
    <w:rsid w:val="01AB5E64"/>
    <w:rsid w:val="01B86ED7"/>
    <w:rsid w:val="01D46B46"/>
    <w:rsid w:val="01FE25B0"/>
    <w:rsid w:val="0209060C"/>
    <w:rsid w:val="020B7DA2"/>
    <w:rsid w:val="02201D8C"/>
    <w:rsid w:val="023074CD"/>
    <w:rsid w:val="026B3EC6"/>
    <w:rsid w:val="027301CA"/>
    <w:rsid w:val="02BB56AA"/>
    <w:rsid w:val="02C261BE"/>
    <w:rsid w:val="02D84414"/>
    <w:rsid w:val="02DF57A3"/>
    <w:rsid w:val="03487E27"/>
    <w:rsid w:val="035D5B5C"/>
    <w:rsid w:val="03AF5F26"/>
    <w:rsid w:val="03BF6CEB"/>
    <w:rsid w:val="03C60A51"/>
    <w:rsid w:val="03CC5D60"/>
    <w:rsid w:val="03DC5407"/>
    <w:rsid w:val="03EE6B1B"/>
    <w:rsid w:val="04016404"/>
    <w:rsid w:val="040B175C"/>
    <w:rsid w:val="042711AF"/>
    <w:rsid w:val="0438050A"/>
    <w:rsid w:val="047719AE"/>
    <w:rsid w:val="04814D63"/>
    <w:rsid w:val="0495080F"/>
    <w:rsid w:val="04965F98"/>
    <w:rsid w:val="049D792E"/>
    <w:rsid w:val="04B13CD7"/>
    <w:rsid w:val="04DD5D12"/>
    <w:rsid w:val="04E9099E"/>
    <w:rsid w:val="04F719AE"/>
    <w:rsid w:val="052C2255"/>
    <w:rsid w:val="0532251D"/>
    <w:rsid w:val="054A784B"/>
    <w:rsid w:val="05573D16"/>
    <w:rsid w:val="055826A1"/>
    <w:rsid w:val="057934E9"/>
    <w:rsid w:val="059B4BE4"/>
    <w:rsid w:val="05A02329"/>
    <w:rsid w:val="05B9677F"/>
    <w:rsid w:val="05CA3483"/>
    <w:rsid w:val="060339F2"/>
    <w:rsid w:val="06582121"/>
    <w:rsid w:val="06823015"/>
    <w:rsid w:val="06AE5BB8"/>
    <w:rsid w:val="06B33DA4"/>
    <w:rsid w:val="06C453DB"/>
    <w:rsid w:val="06C47955"/>
    <w:rsid w:val="072C063C"/>
    <w:rsid w:val="073562D9"/>
    <w:rsid w:val="07372ED8"/>
    <w:rsid w:val="0747051C"/>
    <w:rsid w:val="078F14A4"/>
    <w:rsid w:val="07B16A20"/>
    <w:rsid w:val="07C426A9"/>
    <w:rsid w:val="07E66E24"/>
    <w:rsid w:val="07F4584C"/>
    <w:rsid w:val="08206D36"/>
    <w:rsid w:val="083D71F3"/>
    <w:rsid w:val="087A7D41"/>
    <w:rsid w:val="088E4BFF"/>
    <w:rsid w:val="08D538D0"/>
    <w:rsid w:val="08DB130C"/>
    <w:rsid w:val="08ED490B"/>
    <w:rsid w:val="08F75074"/>
    <w:rsid w:val="09194005"/>
    <w:rsid w:val="092071F9"/>
    <w:rsid w:val="095769B7"/>
    <w:rsid w:val="095D095C"/>
    <w:rsid w:val="09AF7E94"/>
    <w:rsid w:val="09B764CD"/>
    <w:rsid w:val="09E3602A"/>
    <w:rsid w:val="0A015732"/>
    <w:rsid w:val="0A163537"/>
    <w:rsid w:val="0A383B34"/>
    <w:rsid w:val="0A686182"/>
    <w:rsid w:val="0A7B2255"/>
    <w:rsid w:val="0AB34DE9"/>
    <w:rsid w:val="0ABD7DE4"/>
    <w:rsid w:val="0AEE0C79"/>
    <w:rsid w:val="0AEE531E"/>
    <w:rsid w:val="0B2C1995"/>
    <w:rsid w:val="0B35399D"/>
    <w:rsid w:val="0B472137"/>
    <w:rsid w:val="0B4C7FDE"/>
    <w:rsid w:val="0B8434E4"/>
    <w:rsid w:val="0B8571BE"/>
    <w:rsid w:val="0B8D3B7F"/>
    <w:rsid w:val="0B9A1D3A"/>
    <w:rsid w:val="0BA27521"/>
    <w:rsid w:val="0BA31A63"/>
    <w:rsid w:val="0BBE689D"/>
    <w:rsid w:val="0BC1319E"/>
    <w:rsid w:val="0BDA450C"/>
    <w:rsid w:val="0BE37D30"/>
    <w:rsid w:val="0BE77549"/>
    <w:rsid w:val="0BF80469"/>
    <w:rsid w:val="0C0B585A"/>
    <w:rsid w:val="0C1F040B"/>
    <w:rsid w:val="0C4A6CA2"/>
    <w:rsid w:val="0C5114BF"/>
    <w:rsid w:val="0C5A2393"/>
    <w:rsid w:val="0C6D3E1F"/>
    <w:rsid w:val="0C6D4FAE"/>
    <w:rsid w:val="0C714BEC"/>
    <w:rsid w:val="0C776B88"/>
    <w:rsid w:val="0CC367B2"/>
    <w:rsid w:val="0CD85FC9"/>
    <w:rsid w:val="0CE91C05"/>
    <w:rsid w:val="0CE93D0E"/>
    <w:rsid w:val="0D2B61B4"/>
    <w:rsid w:val="0D307327"/>
    <w:rsid w:val="0D3C2785"/>
    <w:rsid w:val="0D787EEA"/>
    <w:rsid w:val="0DBE2B84"/>
    <w:rsid w:val="0DD822A3"/>
    <w:rsid w:val="0DEE6D36"/>
    <w:rsid w:val="0E1C7020"/>
    <w:rsid w:val="0E4F1A2E"/>
    <w:rsid w:val="0E5E7EC3"/>
    <w:rsid w:val="0E7C7503"/>
    <w:rsid w:val="0E7D78A0"/>
    <w:rsid w:val="0E8A515C"/>
    <w:rsid w:val="0EBE4F5E"/>
    <w:rsid w:val="0EDA632A"/>
    <w:rsid w:val="0EF024FE"/>
    <w:rsid w:val="0F6A2898"/>
    <w:rsid w:val="0FA96160"/>
    <w:rsid w:val="0FB35595"/>
    <w:rsid w:val="0FC54879"/>
    <w:rsid w:val="105552F6"/>
    <w:rsid w:val="1068327B"/>
    <w:rsid w:val="107520D2"/>
    <w:rsid w:val="10805DFD"/>
    <w:rsid w:val="108A4FA0"/>
    <w:rsid w:val="109F7E5C"/>
    <w:rsid w:val="10AF0EAA"/>
    <w:rsid w:val="10D26947"/>
    <w:rsid w:val="110D1BEA"/>
    <w:rsid w:val="11810309"/>
    <w:rsid w:val="119B76A9"/>
    <w:rsid w:val="11D644D2"/>
    <w:rsid w:val="122E5C58"/>
    <w:rsid w:val="12364185"/>
    <w:rsid w:val="125C2FAD"/>
    <w:rsid w:val="126F08F1"/>
    <w:rsid w:val="128C6263"/>
    <w:rsid w:val="129B223C"/>
    <w:rsid w:val="12A7070B"/>
    <w:rsid w:val="12AC5656"/>
    <w:rsid w:val="12BA4BDF"/>
    <w:rsid w:val="12BC1CF4"/>
    <w:rsid w:val="12E84200"/>
    <w:rsid w:val="12F31522"/>
    <w:rsid w:val="13565587"/>
    <w:rsid w:val="139B74C4"/>
    <w:rsid w:val="13B4294C"/>
    <w:rsid w:val="13BE591A"/>
    <w:rsid w:val="13CE00F7"/>
    <w:rsid w:val="13F422E9"/>
    <w:rsid w:val="146752C6"/>
    <w:rsid w:val="14813160"/>
    <w:rsid w:val="14F66251"/>
    <w:rsid w:val="150115A9"/>
    <w:rsid w:val="151612A0"/>
    <w:rsid w:val="152F4368"/>
    <w:rsid w:val="15344AB2"/>
    <w:rsid w:val="154F0566"/>
    <w:rsid w:val="156D6DDB"/>
    <w:rsid w:val="15776D7E"/>
    <w:rsid w:val="1578635F"/>
    <w:rsid w:val="158C165B"/>
    <w:rsid w:val="15E43E63"/>
    <w:rsid w:val="15ED2535"/>
    <w:rsid w:val="15F4571E"/>
    <w:rsid w:val="15F67DF9"/>
    <w:rsid w:val="160063E8"/>
    <w:rsid w:val="16372750"/>
    <w:rsid w:val="16414353"/>
    <w:rsid w:val="166E6AA9"/>
    <w:rsid w:val="16724241"/>
    <w:rsid w:val="16726C02"/>
    <w:rsid w:val="169916C0"/>
    <w:rsid w:val="16A03CFC"/>
    <w:rsid w:val="16D74CB7"/>
    <w:rsid w:val="16DB75A3"/>
    <w:rsid w:val="17280D79"/>
    <w:rsid w:val="174B1EB0"/>
    <w:rsid w:val="17555BDC"/>
    <w:rsid w:val="177C2D88"/>
    <w:rsid w:val="178A1124"/>
    <w:rsid w:val="17962E57"/>
    <w:rsid w:val="17A27073"/>
    <w:rsid w:val="17B615F2"/>
    <w:rsid w:val="17B97D2D"/>
    <w:rsid w:val="17BB0135"/>
    <w:rsid w:val="17BC1379"/>
    <w:rsid w:val="187E1396"/>
    <w:rsid w:val="18A04183"/>
    <w:rsid w:val="18A478EF"/>
    <w:rsid w:val="18FA7BB9"/>
    <w:rsid w:val="191260DB"/>
    <w:rsid w:val="19306900"/>
    <w:rsid w:val="19533844"/>
    <w:rsid w:val="197954B1"/>
    <w:rsid w:val="197C57D0"/>
    <w:rsid w:val="19B2361F"/>
    <w:rsid w:val="19BA0041"/>
    <w:rsid w:val="19C11C13"/>
    <w:rsid w:val="1A0C7CBA"/>
    <w:rsid w:val="1A163D48"/>
    <w:rsid w:val="1A1A5AAF"/>
    <w:rsid w:val="1A1F0E4F"/>
    <w:rsid w:val="1A2152CC"/>
    <w:rsid w:val="1A2E5016"/>
    <w:rsid w:val="1A47417D"/>
    <w:rsid w:val="1AA53E85"/>
    <w:rsid w:val="1AE649FA"/>
    <w:rsid w:val="1AF0003A"/>
    <w:rsid w:val="1B1A1616"/>
    <w:rsid w:val="1B2D6E1C"/>
    <w:rsid w:val="1B4E0DFA"/>
    <w:rsid w:val="1B5A27E4"/>
    <w:rsid w:val="1B6D1746"/>
    <w:rsid w:val="1B6F5AA4"/>
    <w:rsid w:val="1B8C6F8D"/>
    <w:rsid w:val="1BAD1FB6"/>
    <w:rsid w:val="1BD51E46"/>
    <w:rsid w:val="1BF22A9C"/>
    <w:rsid w:val="1BFE4A94"/>
    <w:rsid w:val="1BFF7D06"/>
    <w:rsid w:val="1C4B5294"/>
    <w:rsid w:val="1C533ED4"/>
    <w:rsid w:val="1C6276B3"/>
    <w:rsid w:val="1C715266"/>
    <w:rsid w:val="1C9E7D80"/>
    <w:rsid w:val="1CAC2CDF"/>
    <w:rsid w:val="1CBF5FD1"/>
    <w:rsid w:val="1CF074F6"/>
    <w:rsid w:val="1CF547D5"/>
    <w:rsid w:val="1D266454"/>
    <w:rsid w:val="1D3A1AFC"/>
    <w:rsid w:val="1D6D3C7F"/>
    <w:rsid w:val="1DA9289F"/>
    <w:rsid w:val="1DCD7DF1"/>
    <w:rsid w:val="1DEB1048"/>
    <w:rsid w:val="1E124827"/>
    <w:rsid w:val="1E2D340E"/>
    <w:rsid w:val="1E326E83"/>
    <w:rsid w:val="1E6C2189"/>
    <w:rsid w:val="1E9E09B4"/>
    <w:rsid w:val="1EE74B5D"/>
    <w:rsid w:val="1EEB6B4A"/>
    <w:rsid w:val="1F0873A5"/>
    <w:rsid w:val="1F0F4909"/>
    <w:rsid w:val="1F1B56D7"/>
    <w:rsid w:val="1F223D2D"/>
    <w:rsid w:val="1F4A4E3E"/>
    <w:rsid w:val="1F5E41C7"/>
    <w:rsid w:val="1F680BA2"/>
    <w:rsid w:val="1F930968"/>
    <w:rsid w:val="1F941345"/>
    <w:rsid w:val="1FB8595E"/>
    <w:rsid w:val="1FBA45B5"/>
    <w:rsid w:val="1FFB0F80"/>
    <w:rsid w:val="20182CF3"/>
    <w:rsid w:val="20227499"/>
    <w:rsid w:val="202A013D"/>
    <w:rsid w:val="207D067D"/>
    <w:rsid w:val="208C0EFF"/>
    <w:rsid w:val="20AC2D10"/>
    <w:rsid w:val="20B03C3F"/>
    <w:rsid w:val="20BF730A"/>
    <w:rsid w:val="20E51F26"/>
    <w:rsid w:val="20F85F56"/>
    <w:rsid w:val="210927B1"/>
    <w:rsid w:val="212B5B5B"/>
    <w:rsid w:val="21433A85"/>
    <w:rsid w:val="214C2DDA"/>
    <w:rsid w:val="21681F34"/>
    <w:rsid w:val="216E7FC6"/>
    <w:rsid w:val="21A02A37"/>
    <w:rsid w:val="21A47E8B"/>
    <w:rsid w:val="21F0700C"/>
    <w:rsid w:val="220A24D6"/>
    <w:rsid w:val="22327245"/>
    <w:rsid w:val="223344B6"/>
    <w:rsid w:val="224B3750"/>
    <w:rsid w:val="225F27DF"/>
    <w:rsid w:val="227B67F6"/>
    <w:rsid w:val="229F18F8"/>
    <w:rsid w:val="22A45AE4"/>
    <w:rsid w:val="22D24584"/>
    <w:rsid w:val="232B2205"/>
    <w:rsid w:val="23A41DE6"/>
    <w:rsid w:val="23D3554D"/>
    <w:rsid w:val="23E427C1"/>
    <w:rsid w:val="2409256C"/>
    <w:rsid w:val="241C0626"/>
    <w:rsid w:val="241C2A34"/>
    <w:rsid w:val="242477DF"/>
    <w:rsid w:val="242B03F0"/>
    <w:rsid w:val="243454F7"/>
    <w:rsid w:val="24613E12"/>
    <w:rsid w:val="246635AB"/>
    <w:rsid w:val="24957EC4"/>
    <w:rsid w:val="24F904EE"/>
    <w:rsid w:val="25276E09"/>
    <w:rsid w:val="254369C1"/>
    <w:rsid w:val="256C2A6E"/>
    <w:rsid w:val="25965D3D"/>
    <w:rsid w:val="25F8467C"/>
    <w:rsid w:val="264C36E9"/>
    <w:rsid w:val="266C24B0"/>
    <w:rsid w:val="267A53F0"/>
    <w:rsid w:val="26A60202"/>
    <w:rsid w:val="26AA1D61"/>
    <w:rsid w:val="26C265FF"/>
    <w:rsid w:val="26DF6D44"/>
    <w:rsid w:val="27177155"/>
    <w:rsid w:val="271B0D2A"/>
    <w:rsid w:val="27315D1D"/>
    <w:rsid w:val="27402C58"/>
    <w:rsid w:val="27496543"/>
    <w:rsid w:val="275857D2"/>
    <w:rsid w:val="275D4004"/>
    <w:rsid w:val="276854B7"/>
    <w:rsid w:val="276F4A98"/>
    <w:rsid w:val="27812A47"/>
    <w:rsid w:val="2791259C"/>
    <w:rsid w:val="27A25F71"/>
    <w:rsid w:val="27AA28BA"/>
    <w:rsid w:val="27B32BD6"/>
    <w:rsid w:val="27FC557A"/>
    <w:rsid w:val="281401A9"/>
    <w:rsid w:val="281B7E32"/>
    <w:rsid w:val="28221B0A"/>
    <w:rsid w:val="282C05C3"/>
    <w:rsid w:val="284249A6"/>
    <w:rsid w:val="286640ED"/>
    <w:rsid w:val="28812CD5"/>
    <w:rsid w:val="28A11882"/>
    <w:rsid w:val="28A3748D"/>
    <w:rsid w:val="28C01A4F"/>
    <w:rsid w:val="291F33E2"/>
    <w:rsid w:val="29200519"/>
    <w:rsid w:val="29492507"/>
    <w:rsid w:val="297B5976"/>
    <w:rsid w:val="297E7214"/>
    <w:rsid w:val="298A7967"/>
    <w:rsid w:val="298F4ADE"/>
    <w:rsid w:val="2A0B7225"/>
    <w:rsid w:val="2A746B03"/>
    <w:rsid w:val="2A7E1274"/>
    <w:rsid w:val="2AB37773"/>
    <w:rsid w:val="2B05199B"/>
    <w:rsid w:val="2B1100AF"/>
    <w:rsid w:val="2B2D6440"/>
    <w:rsid w:val="2B4C52DF"/>
    <w:rsid w:val="2B69017C"/>
    <w:rsid w:val="2B7523B9"/>
    <w:rsid w:val="2B8F7987"/>
    <w:rsid w:val="2B964CE9"/>
    <w:rsid w:val="2BA333F6"/>
    <w:rsid w:val="2BC03938"/>
    <w:rsid w:val="2BC75853"/>
    <w:rsid w:val="2BD93356"/>
    <w:rsid w:val="2C123D8E"/>
    <w:rsid w:val="2C2B3683"/>
    <w:rsid w:val="2C470E04"/>
    <w:rsid w:val="2C4900D0"/>
    <w:rsid w:val="2CE81574"/>
    <w:rsid w:val="2CE850D0"/>
    <w:rsid w:val="2D261EB0"/>
    <w:rsid w:val="2D686296"/>
    <w:rsid w:val="2D7051AF"/>
    <w:rsid w:val="2D8C4DE1"/>
    <w:rsid w:val="2D92410E"/>
    <w:rsid w:val="2DBE4042"/>
    <w:rsid w:val="2DD24428"/>
    <w:rsid w:val="2DE05D6E"/>
    <w:rsid w:val="2DE43F6E"/>
    <w:rsid w:val="2DFF01E6"/>
    <w:rsid w:val="2E115F09"/>
    <w:rsid w:val="2E1E430F"/>
    <w:rsid w:val="2E220AB6"/>
    <w:rsid w:val="2E465066"/>
    <w:rsid w:val="2E497DF1"/>
    <w:rsid w:val="2E7F3812"/>
    <w:rsid w:val="2E864BA1"/>
    <w:rsid w:val="2E9D638E"/>
    <w:rsid w:val="2EA555A0"/>
    <w:rsid w:val="2EB61D8E"/>
    <w:rsid w:val="2EFD4BE1"/>
    <w:rsid w:val="2F14251F"/>
    <w:rsid w:val="2F153429"/>
    <w:rsid w:val="2F736F4A"/>
    <w:rsid w:val="2F746038"/>
    <w:rsid w:val="2F8310E0"/>
    <w:rsid w:val="2F990904"/>
    <w:rsid w:val="2FA626D5"/>
    <w:rsid w:val="2FBD0A96"/>
    <w:rsid w:val="2FD148A2"/>
    <w:rsid w:val="2FE9188B"/>
    <w:rsid w:val="2FEC7BE8"/>
    <w:rsid w:val="30111A3E"/>
    <w:rsid w:val="3011493E"/>
    <w:rsid w:val="30270569"/>
    <w:rsid w:val="308D68F9"/>
    <w:rsid w:val="30B654E5"/>
    <w:rsid w:val="30C61908"/>
    <w:rsid w:val="310C2637"/>
    <w:rsid w:val="311540EE"/>
    <w:rsid w:val="31197F4E"/>
    <w:rsid w:val="313C44F4"/>
    <w:rsid w:val="31902A80"/>
    <w:rsid w:val="31A57E60"/>
    <w:rsid w:val="31B00187"/>
    <w:rsid w:val="31DE2E01"/>
    <w:rsid w:val="31EF1C69"/>
    <w:rsid w:val="320E1E4A"/>
    <w:rsid w:val="32130E41"/>
    <w:rsid w:val="32140715"/>
    <w:rsid w:val="323D6CB6"/>
    <w:rsid w:val="324E1E79"/>
    <w:rsid w:val="327C2DF9"/>
    <w:rsid w:val="32843928"/>
    <w:rsid w:val="32892F54"/>
    <w:rsid w:val="32A46C22"/>
    <w:rsid w:val="32AC2D2D"/>
    <w:rsid w:val="32CB34CA"/>
    <w:rsid w:val="32FC1E3E"/>
    <w:rsid w:val="330649F0"/>
    <w:rsid w:val="334A3B6B"/>
    <w:rsid w:val="33615BDC"/>
    <w:rsid w:val="337D51D4"/>
    <w:rsid w:val="3382073E"/>
    <w:rsid w:val="338F2383"/>
    <w:rsid w:val="339B73BA"/>
    <w:rsid w:val="33B273BE"/>
    <w:rsid w:val="33FA57BF"/>
    <w:rsid w:val="340A6274"/>
    <w:rsid w:val="341474A9"/>
    <w:rsid w:val="34692557"/>
    <w:rsid w:val="346D4F1E"/>
    <w:rsid w:val="349560C4"/>
    <w:rsid w:val="34995945"/>
    <w:rsid w:val="34F3447D"/>
    <w:rsid w:val="351851AD"/>
    <w:rsid w:val="353510CF"/>
    <w:rsid w:val="35366BF5"/>
    <w:rsid w:val="353B6598"/>
    <w:rsid w:val="35563D07"/>
    <w:rsid w:val="35615290"/>
    <w:rsid w:val="35A3189F"/>
    <w:rsid w:val="35EF127D"/>
    <w:rsid w:val="35F04FF6"/>
    <w:rsid w:val="362F5494"/>
    <w:rsid w:val="363D46DF"/>
    <w:rsid w:val="36845C2B"/>
    <w:rsid w:val="36C562BB"/>
    <w:rsid w:val="36F728BE"/>
    <w:rsid w:val="36F759BD"/>
    <w:rsid w:val="370E1E30"/>
    <w:rsid w:val="37732382"/>
    <w:rsid w:val="378F2B62"/>
    <w:rsid w:val="379F77DE"/>
    <w:rsid w:val="37A1352A"/>
    <w:rsid w:val="37A4253C"/>
    <w:rsid w:val="37B4109C"/>
    <w:rsid w:val="37B41185"/>
    <w:rsid w:val="37F46F5A"/>
    <w:rsid w:val="381C0324"/>
    <w:rsid w:val="381D7DFB"/>
    <w:rsid w:val="38214FF8"/>
    <w:rsid w:val="38406806"/>
    <w:rsid w:val="384839A9"/>
    <w:rsid w:val="38602BAB"/>
    <w:rsid w:val="387C6AA6"/>
    <w:rsid w:val="38821335"/>
    <w:rsid w:val="38911C2B"/>
    <w:rsid w:val="38AE5EA4"/>
    <w:rsid w:val="38AF51A0"/>
    <w:rsid w:val="390E29BE"/>
    <w:rsid w:val="390E4110"/>
    <w:rsid w:val="39167469"/>
    <w:rsid w:val="39B12CEE"/>
    <w:rsid w:val="39B36A66"/>
    <w:rsid w:val="39BD13B3"/>
    <w:rsid w:val="39C57080"/>
    <w:rsid w:val="39DF151D"/>
    <w:rsid w:val="39E921CF"/>
    <w:rsid w:val="39FC5D14"/>
    <w:rsid w:val="3A103EB8"/>
    <w:rsid w:val="3A6E2AB6"/>
    <w:rsid w:val="3ACF5B21"/>
    <w:rsid w:val="3B2C4D22"/>
    <w:rsid w:val="3B2F58DB"/>
    <w:rsid w:val="3B304812"/>
    <w:rsid w:val="3B7469E9"/>
    <w:rsid w:val="3B79246C"/>
    <w:rsid w:val="3B862684"/>
    <w:rsid w:val="3BCC4052"/>
    <w:rsid w:val="3BEA5AC7"/>
    <w:rsid w:val="3BED218D"/>
    <w:rsid w:val="3BF11D50"/>
    <w:rsid w:val="3C06211F"/>
    <w:rsid w:val="3C220A84"/>
    <w:rsid w:val="3C4675C6"/>
    <w:rsid w:val="3C5C2972"/>
    <w:rsid w:val="3C642299"/>
    <w:rsid w:val="3CC3480E"/>
    <w:rsid w:val="3CC571DC"/>
    <w:rsid w:val="3D02319C"/>
    <w:rsid w:val="3D4C16AB"/>
    <w:rsid w:val="3D5B369C"/>
    <w:rsid w:val="3D5E4F3B"/>
    <w:rsid w:val="3DB53978"/>
    <w:rsid w:val="3DC254CA"/>
    <w:rsid w:val="3DCA4AF6"/>
    <w:rsid w:val="3DF86882"/>
    <w:rsid w:val="3E0151A6"/>
    <w:rsid w:val="3E0F7A99"/>
    <w:rsid w:val="3E296944"/>
    <w:rsid w:val="3E5720B6"/>
    <w:rsid w:val="3E682515"/>
    <w:rsid w:val="3E7F2C79"/>
    <w:rsid w:val="3E9079E7"/>
    <w:rsid w:val="3E990920"/>
    <w:rsid w:val="3EA00392"/>
    <w:rsid w:val="3EA2663A"/>
    <w:rsid w:val="3EB017C6"/>
    <w:rsid w:val="3EC3774B"/>
    <w:rsid w:val="3ED97F2B"/>
    <w:rsid w:val="3EDB7A0B"/>
    <w:rsid w:val="3EF968B3"/>
    <w:rsid w:val="3F10787C"/>
    <w:rsid w:val="3F1A3ADD"/>
    <w:rsid w:val="3F1E2CD4"/>
    <w:rsid w:val="3F201683"/>
    <w:rsid w:val="3F2A4975"/>
    <w:rsid w:val="3F3B673B"/>
    <w:rsid w:val="3F536D21"/>
    <w:rsid w:val="3F5758B3"/>
    <w:rsid w:val="3F666884"/>
    <w:rsid w:val="3F671B7C"/>
    <w:rsid w:val="3FC60617"/>
    <w:rsid w:val="3FCD655C"/>
    <w:rsid w:val="3FDD2A8F"/>
    <w:rsid w:val="4020731C"/>
    <w:rsid w:val="402713BD"/>
    <w:rsid w:val="403C77B5"/>
    <w:rsid w:val="4047615A"/>
    <w:rsid w:val="4049657B"/>
    <w:rsid w:val="40652D6D"/>
    <w:rsid w:val="407E6C67"/>
    <w:rsid w:val="40970E8F"/>
    <w:rsid w:val="409C0254"/>
    <w:rsid w:val="409F1576"/>
    <w:rsid w:val="40BD2555"/>
    <w:rsid w:val="40C94DC1"/>
    <w:rsid w:val="40CA6425"/>
    <w:rsid w:val="40FD6E0A"/>
    <w:rsid w:val="410F614C"/>
    <w:rsid w:val="412C2626"/>
    <w:rsid w:val="41456B3D"/>
    <w:rsid w:val="41907F6F"/>
    <w:rsid w:val="41A2540E"/>
    <w:rsid w:val="42026F12"/>
    <w:rsid w:val="42076D4A"/>
    <w:rsid w:val="421C47CA"/>
    <w:rsid w:val="422C3B2C"/>
    <w:rsid w:val="4230334A"/>
    <w:rsid w:val="423B57E3"/>
    <w:rsid w:val="424E596C"/>
    <w:rsid w:val="428B1E10"/>
    <w:rsid w:val="42BD7819"/>
    <w:rsid w:val="43036368"/>
    <w:rsid w:val="431A0DC5"/>
    <w:rsid w:val="43210EE4"/>
    <w:rsid w:val="432E51D9"/>
    <w:rsid w:val="432F3601"/>
    <w:rsid w:val="433507CA"/>
    <w:rsid w:val="4356655F"/>
    <w:rsid w:val="436A5D90"/>
    <w:rsid w:val="43886F2E"/>
    <w:rsid w:val="438C1801"/>
    <w:rsid w:val="4392593E"/>
    <w:rsid w:val="43C52D43"/>
    <w:rsid w:val="43EE6E45"/>
    <w:rsid w:val="442411A9"/>
    <w:rsid w:val="44255188"/>
    <w:rsid w:val="442A6534"/>
    <w:rsid w:val="442B68C5"/>
    <w:rsid w:val="44307631"/>
    <w:rsid w:val="44365A46"/>
    <w:rsid w:val="443D60F0"/>
    <w:rsid w:val="443E0524"/>
    <w:rsid w:val="447D6DF4"/>
    <w:rsid w:val="448D6D2F"/>
    <w:rsid w:val="44917FF6"/>
    <w:rsid w:val="44B93FF0"/>
    <w:rsid w:val="44F7014F"/>
    <w:rsid w:val="45013DB4"/>
    <w:rsid w:val="451D26E6"/>
    <w:rsid w:val="453942C3"/>
    <w:rsid w:val="458B1577"/>
    <w:rsid w:val="4596324C"/>
    <w:rsid w:val="45DB64C9"/>
    <w:rsid w:val="45DC4CF6"/>
    <w:rsid w:val="461940F5"/>
    <w:rsid w:val="4635683C"/>
    <w:rsid w:val="46380A1F"/>
    <w:rsid w:val="4665733A"/>
    <w:rsid w:val="467E645B"/>
    <w:rsid w:val="467F664E"/>
    <w:rsid w:val="4689127A"/>
    <w:rsid w:val="469A3487"/>
    <w:rsid w:val="469C3D1C"/>
    <w:rsid w:val="46A01E86"/>
    <w:rsid w:val="46A929C1"/>
    <w:rsid w:val="46C02D6F"/>
    <w:rsid w:val="46DB13AA"/>
    <w:rsid w:val="46E54919"/>
    <w:rsid w:val="47236CD6"/>
    <w:rsid w:val="47280A93"/>
    <w:rsid w:val="474F118D"/>
    <w:rsid w:val="476652AC"/>
    <w:rsid w:val="477B795A"/>
    <w:rsid w:val="47C66890"/>
    <w:rsid w:val="480162E7"/>
    <w:rsid w:val="480D1A37"/>
    <w:rsid w:val="48212909"/>
    <w:rsid w:val="483D7AE5"/>
    <w:rsid w:val="4863298F"/>
    <w:rsid w:val="48783354"/>
    <w:rsid w:val="488643AF"/>
    <w:rsid w:val="48952158"/>
    <w:rsid w:val="48A979B2"/>
    <w:rsid w:val="48CC544E"/>
    <w:rsid w:val="48D04F3E"/>
    <w:rsid w:val="48E6542C"/>
    <w:rsid w:val="48FB5D34"/>
    <w:rsid w:val="49003E49"/>
    <w:rsid w:val="49115557"/>
    <w:rsid w:val="49227764"/>
    <w:rsid w:val="492A2CC9"/>
    <w:rsid w:val="49437E06"/>
    <w:rsid w:val="495A4E17"/>
    <w:rsid w:val="496B655A"/>
    <w:rsid w:val="49757894"/>
    <w:rsid w:val="499802C4"/>
    <w:rsid w:val="49A625A2"/>
    <w:rsid w:val="49C60772"/>
    <w:rsid w:val="49E22621"/>
    <w:rsid w:val="4A05330E"/>
    <w:rsid w:val="4A235B57"/>
    <w:rsid w:val="4A2A68D0"/>
    <w:rsid w:val="4A323E08"/>
    <w:rsid w:val="4A3D4856"/>
    <w:rsid w:val="4A752F15"/>
    <w:rsid w:val="4A77763C"/>
    <w:rsid w:val="4A7D0020"/>
    <w:rsid w:val="4A7D29F1"/>
    <w:rsid w:val="4A9C28B5"/>
    <w:rsid w:val="4AAB4E1B"/>
    <w:rsid w:val="4AB32D6A"/>
    <w:rsid w:val="4AC83491"/>
    <w:rsid w:val="4AD51E9B"/>
    <w:rsid w:val="4ADF590D"/>
    <w:rsid w:val="4AE9678B"/>
    <w:rsid w:val="4AF066D0"/>
    <w:rsid w:val="4B2477C4"/>
    <w:rsid w:val="4B29302C"/>
    <w:rsid w:val="4B403D19"/>
    <w:rsid w:val="4B4E5778"/>
    <w:rsid w:val="4B5856BF"/>
    <w:rsid w:val="4B5945B2"/>
    <w:rsid w:val="4B7C16BB"/>
    <w:rsid w:val="4B7C595F"/>
    <w:rsid w:val="4B92526E"/>
    <w:rsid w:val="4B9B57C1"/>
    <w:rsid w:val="4BAB1C93"/>
    <w:rsid w:val="4BBB7216"/>
    <w:rsid w:val="4BC243CD"/>
    <w:rsid w:val="4BC62629"/>
    <w:rsid w:val="4BCB43DF"/>
    <w:rsid w:val="4BE96317"/>
    <w:rsid w:val="4BEF27F5"/>
    <w:rsid w:val="4C4579F1"/>
    <w:rsid w:val="4C5172F3"/>
    <w:rsid w:val="4C611DAD"/>
    <w:rsid w:val="4CDA2830"/>
    <w:rsid w:val="4CE15C9E"/>
    <w:rsid w:val="4CE23492"/>
    <w:rsid w:val="4CE40357"/>
    <w:rsid w:val="4CED3971"/>
    <w:rsid w:val="4CEF395A"/>
    <w:rsid w:val="4CFF5D93"/>
    <w:rsid w:val="4D0E072B"/>
    <w:rsid w:val="4D116F6B"/>
    <w:rsid w:val="4D127F16"/>
    <w:rsid w:val="4D8B2C92"/>
    <w:rsid w:val="4D8E53C8"/>
    <w:rsid w:val="4DB80AB6"/>
    <w:rsid w:val="4DCA7255"/>
    <w:rsid w:val="4DF30EDE"/>
    <w:rsid w:val="4E047438"/>
    <w:rsid w:val="4E1C19CD"/>
    <w:rsid w:val="4E395334"/>
    <w:rsid w:val="4E400C6D"/>
    <w:rsid w:val="4E48060E"/>
    <w:rsid w:val="4E583537"/>
    <w:rsid w:val="4E691967"/>
    <w:rsid w:val="4E6C395B"/>
    <w:rsid w:val="4E747862"/>
    <w:rsid w:val="4EC9465E"/>
    <w:rsid w:val="4ED432AF"/>
    <w:rsid w:val="4ED54882"/>
    <w:rsid w:val="4EF80279"/>
    <w:rsid w:val="4EFD0201"/>
    <w:rsid w:val="4F1D07B2"/>
    <w:rsid w:val="4F284742"/>
    <w:rsid w:val="4F651F0D"/>
    <w:rsid w:val="4F7F0524"/>
    <w:rsid w:val="4FEE1371"/>
    <w:rsid w:val="500470B0"/>
    <w:rsid w:val="50262A74"/>
    <w:rsid w:val="50324731"/>
    <w:rsid w:val="504A1081"/>
    <w:rsid w:val="5052092F"/>
    <w:rsid w:val="506936E2"/>
    <w:rsid w:val="5082349B"/>
    <w:rsid w:val="508B4A17"/>
    <w:rsid w:val="50A051F1"/>
    <w:rsid w:val="50E13983"/>
    <w:rsid w:val="50E61077"/>
    <w:rsid w:val="50ED4080"/>
    <w:rsid w:val="50F87728"/>
    <w:rsid w:val="51497D79"/>
    <w:rsid w:val="515F3303"/>
    <w:rsid w:val="516E3547"/>
    <w:rsid w:val="51756599"/>
    <w:rsid w:val="517D3BB6"/>
    <w:rsid w:val="518A6F8B"/>
    <w:rsid w:val="518E5997"/>
    <w:rsid w:val="519A433C"/>
    <w:rsid w:val="51AD7AEB"/>
    <w:rsid w:val="51DD4243"/>
    <w:rsid w:val="51E43ECB"/>
    <w:rsid w:val="51E45A84"/>
    <w:rsid w:val="51FE3331"/>
    <w:rsid w:val="52181704"/>
    <w:rsid w:val="52184834"/>
    <w:rsid w:val="52202E98"/>
    <w:rsid w:val="52483D98"/>
    <w:rsid w:val="52602A8C"/>
    <w:rsid w:val="52657AD4"/>
    <w:rsid w:val="526E128E"/>
    <w:rsid w:val="52727F85"/>
    <w:rsid w:val="528B0128"/>
    <w:rsid w:val="52A87A96"/>
    <w:rsid w:val="52AD092D"/>
    <w:rsid w:val="52B5767C"/>
    <w:rsid w:val="52EF06B7"/>
    <w:rsid w:val="530C3DAB"/>
    <w:rsid w:val="5337398A"/>
    <w:rsid w:val="537B2458"/>
    <w:rsid w:val="538E1C7E"/>
    <w:rsid w:val="53A2397B"/>
    <w:rsid w:val="53D131F1"/>
    <w:rsid w:val="53DB5480"/>
    <w:rsid w:val="54224ABC"/>
    <w:rsid w:val="542D5B65"/>
    <w:rsid w:val="5475225A"/>
    <w:rsid w:val="54B66C5E"/>
    <w:rsid w:val="54C65DA1"/>
    <w:rsid w:val="54FD1413"/>
    <w:rsid w:val="55204730"/>
    <w:rsid w:val="55632428"/>
    <w:rsid w:val="556A7548"/>
    <w:rsid w:val="557C0677"/>
    <w:rsid w:val="55F622FB"/>
    <w:rsid w:val="563167DC"/>
    <w:rsid w:val="56757D7F"/>
    <w:rsid w:val="56A877FD"/>
    <w:rsid w:val="56D27CC5"/>
    <w:rsid w:val="56FB1D20"/>
    <w:rsid w:val="56FC76C5"/>
    <w:rsid w:val="573B0F8F"/>
    <w:rsid w:val="575875CD"/>
    <w:rsid w:val="577708FE"/>
    <w:rsid w:val="57777405"/>
    <w:rsid w:val="579801F1"/>
    <w:rsid w:val="57A963FD"/>
    <w:rsid w:val="57F42380"/>
    <w:rsid w:val="583849FF"/>
    <w:rsid w:val="595D4065"/>
    <w:rsid w:val="59967ADE"/>
    <w:rsid w:val="59AE0721"/>
    <w:rsid w:val="59B60181"/>
    <w:rsid w:val="59DB1995"/>
    <w:rsid w:val="59E21B2F"/>
    <w:rsid w:val="5A015FC3"/>
    <w:rsid w:val="5A0507C0"/>
    <w:rsid w:val="5A061F53"/>
    <w:rsid w:val="5A0C5FF2"/>
    <w:rsid w:val="5A2A148F"/>
    <w:rsid w:val="5A617FBB"/>
    <w:rsid w:val="5A7019A2"/>
    <w:rsid w:val="5A7243DE"/>
    <w:rsid w:val="5A797AC8"/>
    <w:rsid w:val="5A8A41AF"/>
    <w:rsid w:val="5AA565F0"/>
    <w:rsid w:val="5AB11C4F"/>
    <w:rsid w:val="5AF768B4"/>
    <w:rsid w:val="5AFA409D"/>
    <w:rsid w:val="5B311D6D"/>
    <w:rsid w:val="5B372BFB"/>
    <w:rsid w:val="5B417F1E"/>
    <w:rsid w:val="5B594D76"/>
    <w:rsid w:val="5B5A267B"/>
    <w:rsid w:val="5B5C6B06"/>
    <w:rsid w:val="5B6133AD"/>
    <w:rsid w:val="5B665F9C"/>
    <w:rsid w:val="5B8147BE"/>
    <w:rsid w:val="5B8F47E5"/>
    <w:rsid w:val="5B9A4534"/>
    <w:rsid w:val="5BCB77E7"/>
    <w:rsid w:val="5BE52A9B"/>
    <w:rsid w:val="5BE72873"/>
    <w:rsid w:val="5BFB631F"/>
    <w:rsid w:val="5C166313"/>
    <w:rsid w:val="5C25339C"/>
    <w:rsid w:val="5C3A6591"/>
    <w:rsid w:val="5C45759A"/>
    <w:rsid w:val="5C9A2217"/>
    <w:rsid w:val="5CCC3817"/>
    <w:rsid w:val="5CDD41DD"/>
    <w:rsid w:val="5CE53096"/>
    <w:rsid w:val="5CF53766"/>
    <w:rsid w:val="5CFA31FE"/>
    <w:rsid w:val="5CFC234E"/>
    <w:rsid w:val="5D2378DB"/>
    <w:rsid w:val="5D2814E8"/>
    <w:rsid w:val="5D3D64C3"/>
    <w:rsid w:val="5D4D3739"/>
    <w:rsid w:val="5D7C3753"/>
    <w:rsid w:val="5D8C2B4C"/>
    <w:rsid w:val="5DD71459"/>
    <w:rsid w:val="5E9D3366"/>
    <w:rsid w:val="5EDB5293"/>
    <w:rsid w:val="5EE00E01"/>
    <w:rsid w:val="5EEC63F2"/>
    <w:rsid w:val="5EF02D0A"/>
    <w:rsid w:val="5F166152"/>
    <w:rsid w:val="5F250980"/>
    <w:rsid w:val="5F4051E8"/>
    <w:rsid w:val="5F441D8B"/>
    <w:rsid w:val="5F5733EF"/>
    <w:rsid w:val="5F5A47A5"/>
    <w:rsid w:val="5F6A27FA"/>
    <w:rsid w:val="5F7F1523"/>
    <w:rsid w:val="5F7F3BDC"/>
    <w:rsid w:val="5F9960A6"/>
    <w:rsid w:val="5FA267D3"/>
    <w:rsid w:val="5FB94EA3"/>
    <w:rsid w:val="5FD21FAE"/>
    <w:rsid w:val="5FD650D9"/>
    <w:rsid w:val="5FE21F51"/>
    <w:rsid w:val="60076309"/>
    <w:rsid w:val="602F6597"/>
    <w:rsid w:val="60630CB1"/>
    <w:rsid w:val="606352D7"/>
    <w:rsid w:val="60831B5C"/>
    <w:rsid w:val="609D1E74"/>
    <w:rsid w:val="60A25911"/>
    <w:rsid w:val="60A30D33"/>
    <w:rsid w:val="60A42D98"/>
    <w:rsid w:val="60AE1334"/>
    <w:rsid w:val="60B13B25"/>
    <w:rsid w:val="60CC438D"/>
    <w:rsid w:val="61080514"/>
    <w:rsid w:val="6142206D"/>
    <w:rsid w:val="614222FA"/>
    <w:rsid w:val="618D33CF"/>
    <w:rsid w:val="61BD42A9"/>
    <w:rsid w:val="6211064A"/>
    <w:rsid w:val="62141EE8"/>
    <w:rsid w:val="623330E6"/>
    <w:rsid w:val="623565D5"/>
    <w:rsid w:val="62796B4D"/>
    <w:rsid w:val="62854B94"/>
    <w:rsid w:val="629D25D8"/>
    <w:rsid w:val="62C05BCC"/>
    <w:rsid w:val="62FD4B17"/>
    <w:rsid w:val="62FE7C2F"/>
    <w:rsid w:val="63031C9E"/>
    <w:rsid w:val="632E4EFB"/>
    <w:rsid w:val="6331013D"/>
    <w:rsid w:val="633B165F"/>
    <w:rsid w:val="63473BF7"/>
    <w:rsid w:val="63474178"/>
    <w:rsid w:val="634B514E"/>
    <w:rsid w:val="634D7BCE"/>
    <w:rsid w:val="637D18D6"/>
    <w:rsid w:val="638E2B99"/>
    <w:rsid w:val="63D41B5E"/>
    <w:rsid w:val="63DA2CBD"/>
    <w:rsid w:val="63DE187D"/>
    <w:rsid w:val="63E91153"/>
    <w:rsid w:val="6422373F"/>
    <w:rsid w:val="64410F8F"/>
    <w:rsid w:val="644512B3"/>
    <w:rsid w:val="6449557A"/>
    <w:rsid w:val="64774815"/>
    <w:rsid w:val="64A93EF7"/>
    <w:rsid w:val="64CA2D32"/>
    <w:rsid w:val="64D9738F"/>
    <w:rsid w:val="65073EEF"/>
    <w:rsid w:val="651E6108"/>
    <w:rsid w:val="65247AA1"/>
    <w:rsid w:val="653F4269"/>
    <w:rsid w:val="654A79CF"/>
    <w:rsid w:val="6562740E"/>
    <w:rsid w:val="657E7F74"/>
    <w:rsid w:val="65B6750A"/>
    <w:rsid w:val="65D10CAC"/>
    <w:rsid w:val="662B2FDB"/>
    <w:rsid w:val="66375E3A"/>
    <w:rsid w:val="664173F5"/>
    <w:rsid w:val="66455EA4"/>
    <w:rsid w:val="666872B3"/>
    <w:rsid w:val="666B40A1"/>
    <w:rsid w:val="66912624"/>
    <w:rsid w:val="66C86279"/>
    <w:rsid w:val="66D84097"/>
    <w:rsid w:val="6727621A"/>
    <w:rsid w:val="672D5D3E"/>
    <w:rsid w:val="67320DEF"/>
    <w:rsid w:val="67694F1E"/>
    <w:rsid w:val="67874F0A"/>
    <w:rsid w:val="67917B37"/>
    <w:rsid w:val="67C35F3C"/>
    <w:rsid w:val="67D279F2"/>
    <w:rsid w:val="67E45BBA"/>
    <w:rsid w:val="67FC3B0F"/>
    <w:rsid w:val="680E2449"/>
    <w:rsid w:val="6844732F"/>
    <w:rsid w:val="686105B5"/>
    <w:rsid w:val="686F5878"/>
    <w:rsid w:val="68725BBA"/>
    <w:rsid w:val="68974C72"/>
    <w:rsid w:val="689B0646"/>
    <w:rsid w:val="68C15384"/>
    <w:rsid w:val="68C648EE"/>
    <w:rsid w:val="691D75BF"/>
    <w:rsid w:val="69381C01"/>
    <w:rsid w:val="69391100"/>
    <w:rsid w:val="699468D1"/>
    <w:rsid w:val="69D90F86"/>
    <w:rsid w:val="69DB32EB"/>
    <w:rsid w:val="69E06B54"/>
    <w:rsid w:val="69F83E9D"/>
    <w:rsid w:val="69FE2A0A"/>
    <w:rsid w:val="6A1E2D61"/>
    <w:rsid w:val="6A5A4B58"/>
    <w:rsid w:val="6A6409A3"/>
    <w:rsid w:val="6A794FDE"/>
    <w:rsid w:val="6A947E1D"/>
    <w:rsid w:val="6AA95198"/>
    <w:rsid w:val="6AB2229E"/>
    <w:rsid w:val="6ABC136F"/>
    <w:rsid w:val="6AC923B1"/>
    <w:rsid w:val="6AFE7291"/>
    <w:rsid w:val="6B31716A"/>
    <w:rsid w:val="6B637A3C"/>
    <w:rsid w:val="6B6A4927"/>
    <w:rsid w:val="6B6D2669"/>
    <w:rsid w:val="6BDC4BEC"/>
    <w:rsid w:val="6BE04BE9"/>
    <w:rsid w:val="6BEC6B68"/>
    <w:rsid w:val="6BFD39ED"/>
    <w:rsid w:val="6C16685D"/>
    <w:rsid w:val="6C1D7BEB"/>
    <w:rsid w:val="6C2B2308"/>
    <w:rsid w:val="6C3B62C3"/>
    <w:rsid w:val="6C476D95"/>
    <w:rsid w:val="6C5C6978"/>
    <w:rsid w:val="6CB26586"/>
    <w:rsid w:val="6CE02AFB"/>
    <w:rsid w:val="6CE626D3"/>
    <w:rsid w:val="6D0137F7"/>
    <w:rsid w:val="6D200DDE"/>
    <w:rsid w:val="6D21370B"/>
    <w:rsid w:val="6D3F1AC7"/>
    <w:rsid w:val="6D605FE2"/>
    <w:rsid w:val="6D655CEE"/>
    <w:rsid w:val="6D867EC7"/>
    <w:rsid w:val="6DD4629B"/>
    <w:rsid w:val="6DEA7FA1"/>
    <w:rsid w:val="6DEC0A05"/>
    <w:rsid w:val="6DFD7BD4"/>
    <w:rsid w:val="6DFE525B"/>
    <w:rsid w:val="6E033011"/>
    <w:rsid w:val="6E593CBE"/>
    <w:rsid w:val="6E62667D"/>
    <w:rsid w:val="6E627C54"/>
    <w:rsid w:val="6E6B2EFC"/>
    <w:rsid w:val="6F131AC6"/>
    <w:rsid w:val="6F1751E2"/>
    <w:rsid w:val="6F28639E"/>
    <w:rsid w:val="6F3367F3"/>
    <w:rsid w:val="6F551160"/>
    <w:rsid w:val="6F554417"/>
    <w:rsid w:val="6F7915DC"/>
    <w:rsid w:val="6FA046F1"/>
    <w:rsid w:val="6FC54864"/>
    <w:rsid w:val="6FCA2309"/>
    <w:rsid w:val="70052E70"/>
    <w:rsid w:val="706109F2"/>
    <w:rsid w:val="70693A8E"/>
    <w:rsid w:val="7083206A"/>
    <w:rsid w:val="709769DC"/>
    <w:rsid w:val="709C6413"/>
    <w:rsid w:val="70B84386"/>
    <w:rsid w:val="70D10DCC"/>
    <w:rsid w:val="70E22791"/>
    <w:rsid w:val="711772FF"/>
    <w:rsid w:val="7133710F"/>
    <w:rsid w:val="713C4E72"/>
    <w:rsid w:val="71566079"/>
    <w:rsid w:val="71593911"/>
    <w:rsid w:val="715A208E"/>
    <w:rsid w:val="7169409E"/>
    <w:rsid w:val="716C5A32"/>
    <w:rsid w:val="718D5DB5"/>
    <w:rsid w:val="71A1198F"/>
    <w:rsid w:val="71A97A99"/>
    <w:rsid w:val="71C20A11"/>
    <w:rsid w:val="71D277C6"/>
    <w:rsid w:val="71D51FF1"/>
    <w:rsid w:val="71E03B95"/>
    <w:rsid w:val="71E511AB"/>
    <w:rsid w:val="72035AD5"/>
    <w:rsid w:val="72175E17"/>
    <w:rsid w:val="721C004A"/>
    <w:rsid w:val="72323262"/>
    <w:rsid w:val="72464254"/>
    <w:rsid w:val="724C6BB5"/>
    <w:rsid w:val="72552CBE"/>
    <w:rsid w:val="726101B4"/>
    <w:rsid w:val="72614A63"/>
    <w:rsid w:val="72632BC2"/>
    <w:rsid w:val="72A2535C"/>
    <w:rsid w:val="72D40328"/>
    <w:rsid w:val="72E51C93"/>
    <w:rsid w:val="72ED5BF7"/>
    <w:rsid w:val="73075997"/>
    <w:rsid w:val="737427E7"/>
    <w:rsid w:val="73841D2D"/>
    <w:rsid w:val="73A74FC5"/>
    <w:rsid w:val="73BD78EE"/>
    <w:rsid w:val="73C13552"/>
    <w:rsid w:val="73DD48F4"/>
    <w:rsid w:val="73FB0445"/>
    <w:rsid w:val="7439421E"/>
    <w:rsid w:val="74404DBF"/>
    <w:rsid w:val="74D214FB"/>
    <w:rsid w:val="74EB2C86"/>
    <w:rsid w:val="74FB44DA"/>
    <w:rsid w:val="752D0050"/>
    <w:rsid w:val="752D5343"/>
    <w:rsid w:val="75482A22"/>
    <w:rsid w:val="75583702"/>
    <w:rsid w:val="75761A08"/>
    <w:rsid w:val="759C4277"/>
    <w:rsid w:val="75B3511C"/>
    <w:rsid w:val="75B80F22"/>
    <w:rsid w:val="75BF063E"/>
    <w:rsid w:val="75FB7ECD"/>
    <w:rsid w:val="763A7424"/>
    <w:rsid w:val="763E532E"/>
    <w:rsid w:val="76415A30"/>
    <w:rsid w:val="7657350F"/>
    <w:rsid w:val="765C4EF9"/>
    <w:rsid w:val="767C6CCA"/>
    <w:rsid w:val="768D6BDD"/>
    <w:rsid w:val="76B949B4"/>
    <w:rsid w:val="76C10199"/>
    <w:rsid w:val="76C30C21"/>
    <w:rsid w:val="76E94B77"/>
    <w:rsid w:val="77144843"/>
    <w:rsid w:val="772C11EB"/>
    <w:rsid w:val="7743318D"/>
    <w:rsid w:val="7745677A"/>
    <w:rsid w:val="77500D09"/>
    <w:rsid w:val="776038C5"/>
    <w:rsid w:val="776112D4"/>
    <w:rsid w:val="776E4DD9"/>
    <w:rsid w:val="777E7715"/>
    <w:rsid w:val="778A5E1B"/>
    <w:rsid w:val="77E21F42"/>
    <w:rsid w:val="77F4102D"/>
    <w:rsid w:val="77FC2DAB"/>
    <w:rsid w:val="781F38A5"/>
    <w:rsid w:val="78221AB3"/>
    <w:rsid w:val="782B0F7B"/>
    <w:rsid w:val="7855070D"/>
    <w:rsid w:val="78656BA2"/>
    <w:rsid w:val="789456D9"/>
    <w:rsid w:val="789B25C4"/>
    <w:rsid w:val="78BC1E15"/>
    <w:rsid w:val="78DD3874"/>
    <w:rsid w:val="78EA354B"/>
    <w:rsid w:val="78EA52F9"/>
    <w:rsid w:val="78EF290F"/>
    <w:rsid w:val="79222CE5"/>
    <w:rsid w:val="79461E30"/>
    <w:rsid w:val="794F33AE"/>
    <w:rsid w:val="7956298E"/>
    <w:rsid w:val="7962698E"/>
    <w:rsid w:val="796E7CD8"/>
    <w:rsid w:val="798D0404"/>
    <w:rsid w:val="79B250EE"/>
    <w:rsid w:val="79B25E17"/>
    <w:rsid w:val="79C2533B"/>
    <w:rsid w:val="79C930DE"/>
    <w:rsid w:val="79F4325F"/>
    <w:rsid w:val="7A0627C9"/>
    <w:rsid w:val="7A2860D9"/>
    <w:rsid w:val="7A2D1941"/>
    <w:rsid w:val="7A440956"/>
    <w:rsid w:val="7A5C2227"/>
    <w:rsid w:val="7A622905"/>
    <w:rsid w:val="7A7259A4"/>
    <w:rsid w:val="7A862E00"/>
    <w:rsid w:val="7A9279F6"/>
    <w:rsid w:val="7A97500D"/>
    <w:rsid w:val="7AB61937"/>
    <w:rsid w:val="7AB6395A"/>
    <w:rsid w:val="7ABD063B"/>
    <w:rsid w:val="7AD3592D"/>
    <w:rsid w:val="7AE244DA"/>
    <w:rsid w:val="7AE87C4C"/>
    <w:rsid w:val="7AF4245F"/>
    <w:rsid w:val="7B0306B3"/>
    <w:rsid w:val="7B113011"/>
    <w:rsid w:val="7B330BD4"/>
    <w:rsid w:val="7B4B01ED"/>
    <w:rsid w:val="7BB85132"/>
    <w:rsid w:val="7BC92567"/>
    <w:rsid w:val="7BD2272D"/>
    <w:rsid w:val="7BD60483"/>
    <w:rsid w:val="7BE85B30"/>
    <w:rsid w:val="7BEB4136"/>
    <w:rsid w:val="7C01581E"/>
    <w:rsid w:val="7C1F5441"/>
    <w:rsid w:val="7C357264"/>
    <w:rsid w:val="7C3945CD"/>
    <w:rsid w:val="7C5D6E8C"/>
    <w:rsid w:val="7C6B49A3"/>
    <w:rsid w:val="7C745605"/>
    <w:rsid w:val="7C7E2637"/>
    <w:rsid w:val="7C9644DA"/>
    <w:rsid w:val="7CEC2691"/>
    <w:rsid w:val="7CED2B42"/>
    <w:rsid w:val="7D0C1A12"/>
    <w:rsid w:val="7D2663EE"/>
    <w:rsid w:val="7D3354C1"/>
    <w:rsid w:val="7D392935"/>
    <w:rsid w:val="7D67516A"/>
    <w:rsid w:val="7D6C2781"/>
    <w:rsid w:val="7D7E4262"/>
    <w:rsid w:val="7D804DDE"/>
    <w:rsid w:val="7DA939D5"/>
    <w:rsid w:val="7DCF1BFE"/>
    <w:rsid w:val="7DE70B29"/>
    <w:rsid w:val="7E2B7BC1"/>
    <w:rsid w:val="7E37748C"/>
    <w:rsid w:val="7E467627"/>
    <w:rsid w:val="7E7D0F2F"/>
    <w:rsid w:val="7E8A55B4"/>
    <w:rsid w:val="7E8A5D41"/>
    <w:rsid w:val="7EB735F7"/>
    <w:rsid w:val="7EE1335E"/>
    <w:rsid w:val="7EE746E0"/>
    <w:rsid w:val="7EF234C0"/>
    <w:rsid w:val="7EFB00DD"/>
    <w:rsid w:val="7EFC18E2"/>
    <w:rsid w:val="7F0369E6"/>
    <w:rsid w:val="7F6B2453"/>
    <w:rsid w:val="7F8E5E9A"/>
    <w:rsid w:val="7FC1639D"/>
    <w:rsid w:val="7FDE68B9"/>
    <w:rsid w:val="7FE56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XDocReport_Hyperlink">
    <w:name w:val="Hyperlink"/>
    <!-- <w:basedOn w:val="Policepardfaut" /> -->
    <w:uiPriority w:val="99"/>
    <w:unhideWhenUsed/>
    <!-- <w:rsid w:val="00CB4FF3" /> -->
    <w:rPr>
      <w:color w:val="0000FF" w:themeColor="hyperlink"/>
      <w:u w:val="single"/>
    </w:rPr>
  </w:style>
  <w:style w:type="paragraph" w:styleId="XDocReport_Heading_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XDocReport_Heading_2">
    <w:name w:val="heading 2"/>
    <!-- <w:basedOn w:val="Normal" /> <w:next w:val="Normal" /> <w:link w:val="Titre2Car" /> -->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XDocReport_Heading_3">
    <w:name w:val="heading 3"/>
    <!-- <w:basedOn w:val="Normal" /> <w:next w:val="Normal" /> <w:link w:val="Titre3Car"   /> -->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XDocReport_Heading_4">
    <w:name w:val="heading 4"/>
    <!-- <w:basedOn w:val="Normal" /> <w:next w:val="Normal" /> <w:link w:val="Titre4Car" /> -->
    <w:uiPriority w:val="9"/>
    <w:unhideWhenUsed/>
    <w:qFormat/>
    <w:rsid w:val="005F433E"/>
    <w:pPr>
      <w:keepNext/>
      <w:keepLines/>
      <w:spacing w:before="200" w:after="0"/>
      <w:outlineLvl w:val="3"/>
    </w:pPr>
    <w:rPr>
      <w:rFonts w:asciiTheme="majorHAnsi" w:eastAsiaTheme="majorEastAsia" w:hAnsiTheme="majorHAnsi" w:cstheme="majorBidi"/>
      <w:b/>
      <w:bCs/>
      <w:i/>
      <w:iCs/>
      <w:color w:val="4F81BD" w:themeColor="accent1"/>
    </w:rPr>
  </w:style>
  <w:style w:type="paragraph" w:styleId="XDocReport_Heading_5">
    <w:name w:val="heading 5"/>
    <!-- <w:basedOn w:val="Normal" /> <w:next w:val="Normal" /> <w:link w:val="Titre5Car"   /> -->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XDocReport_Heading_6">
    <w:name w:val="heading 6"/>
    <!-- <w:basedOn w:val="Normal" /> <w:next w:val="Normal" /> <w:link w:val="Titre6Car" /> -->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s>
</file>

<file path=word/_rels/document.xml.rels><?xml version="1.0" encoding="UTF-8" standalone="yes"?><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2524</Words>
  <Characters>8239</Characters>
  <Lines>0</Lines>
  <Paragraphs>0</Paragraphs>
  <TotalTime>0</TotalTime>
  <ScaleCrop>false</ScaleCrop>
  <LinksUpToDate>false</LinksUpToDate>
  <CharactersWithSpaces>8419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2023-07-18T06:44:00Z</dcterms:created>
  <dc:creator>刘敏</dc:creator>
  <cp:lastModifiedBy>HP</cp:lastModifiedBy>
  <dcterms:modified xsi:type="dcterms:W3CDTF">2025-09-17T06:44:24Z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D47CD63191F0423D8EF335C02F7120F0_11</vt:lpwstr>
  </property>
  <property fmtid="{D5CDD505-2E9C-101B-9397-08002B2CF9AE}" pid="4" name="KSOTemplateDocerSaveRecord">
    <vt:lpwstr>eyJoZGlkIjoiYzU2YzViY2ExNGQzYmJhNDZiZDUxZjNiYmUyOTVmZDUifQ==</vt:lpwstr>
  </property>
</Properties>
</file>