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left="0" w:firstLine="1680" w:firstLineChars="200"/>
        <w:jc w:val="center"/>
        <w:rPr>
          <w:rFonts w:ascii="方正小标宋简体" w:hAnsi="方正小标宋简体" w:eastAsia="方正小标宋简体" w:cs="方正小标宋简体"/>
          <w:sz w:val="84"/>
          <w:szCs w:val="84"/>
        </w:rPr>
      </w:pPr>
    </w:p>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000000"/>
          <w:sz w:val="52"/>
          <w:szCs w:val="52"/>
        </w:rPr>
      </w:pPr>
      <w:bookmarkStart w:id="0" w:name="PO_title1"/>
      <w:r>
        <w:rPr>
          <w:rFonts w:hint="eastAsia" w:ascii="宋体" w:hAnsi="宋体" w:cs="宋体"/>
          <w:b/>
          <w:bCs/>
          <w:color w:val="000000"/>
          <w:sz w:val="52"/>
          <w:szCs w:val="52"/>
          <w:lang w:val="en-US" w:eastAsia="zh-CN"/>
        </w:rPr>
        <w:t>百色市群众工作服务中心</w:t>
      </w:r>
      <w:bookmarkEnd w:id="0"/>
    </w:p>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000000"/>
          <w:sz w:val="52"/>
          <w:szCs w:val="52"/>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b/>
          <w:bCs/>
          <w:color w:val="000000"/>
          <w:sz w:val="52"/>
          <w:szCs w:val="52"/>
          <w:lang w:val="en-US" w:eastAsia="zh-CN"/>
        </w:rPr>
        <w:t>2024</w:t>
      </w:r>
      <w:r>
        <w:rPr>
          <w:rFonts w:hint="eastAsia" w:ascii="宋体" w:hAnsi="宋体" w:cs="宋体"/>
          <w:b/>
          <w:bCs/>
          <w:color w:val="000000"/>
          <w:sz w:val="52"/>
          <w:szCs w:val="52"/>
        </w:rPr>
        <w:t>年度部门预算</w:t>
      </w:r>
    </w:p>
    <w:p>
      <w:pPr>
        <w:keepNext w:val="0"/>
        <w:keepLines w:val="0"/>
        <w:pageBreakBefore w:val="0"/>
        <w:kinsoku/>
        <w:wordWrap/>
        <w:overflowPunct/>
        <w:topLinePunct w:val="0"/>
        <w:autoSpaceDE/>
        <w:autoSpaceDN/>
        <w:bidi w:val="0"/>
        <w:adjustRightInd/>
        <w:snapToGrid/>
        <w:spacing w:line="560" w:lineRule="exact"/>
        <w:ind w:left="0" w:firstLine="880" w:firstLineChars="200"/>
        <w:jc w:val="center"/>
        <w:outlineLvl w:val="0"/>
        <w:rPr>
          <w:rFonts w:ascii="黑体" w:hAnsi="黑体" w:eastAsia="黑体" w:cs="方正小标宋简体"/>
          <w:sz w:val="44"/>
          <w:szCs w:val="44"/>
        </w:rPr>
      </w:pPr>
      <w:r>
        <w:rPr>
          <w:rFonts w:hint="eastAsia" w:ascii="黑体" w:hAnsi="黑体" w:eastAsia="黑体" w:cs="方正小标宋简体"/>
          <w:sz w:val="44"/>
          <w:szCs w:val="44"/>
        </w:rPr>
        <w:t>目  录</w:t>
      </w:r>
    </w:p>
    <w:p>
      <w:pPr>
        <w:keepNext w:val="0"/>
        <w:keepLines w:val="0"/>
        <w:pageBreakBefore w:val="0"/>
        <w:kinsoku/>
        <w:wordWrap/>
        <w:overflowPunct/>
        <w:topLinePunct w:val="0"/>
        <w:autoSpaceDE/>
        <w:autoSpaceDN/>
        <w:bidi w:val="0"/>
        <w:adjustRightInd/>
        <w:snapToGrid/>
        <w:spacing w:line="560" w:lineRule="exact"/>
        <w:ind w:left="0" w:firstLine="643" w:firstLineChars="200"/>
        <w:outlineLvl w:val="9"/>
        <w:rPr>
          <w:rFonts w:ascii="黑体" w:hAnsi="黑体" w:eastAsia="黑体" w:cs="黑体"/>
          <w:b/>
          <w:sz w:val="32"/>
          <w:szCs w:val="32"/>
        </w:rPr>
      </w:pPr>
      <w:r>
        <w:rPr>
          <w:rFonts w:hint="eastAsia" w:ascii="黑体" w:hAnsi="黑体" w:eastAsia="黑体" w:cs="黑体"/>
          <w:b/>
          <w:sz w:val="32"/>
          <w:szCs w:val="32"/>
        </w:rPr>
        <w:t xml:space="preserve">第一部分  </w:t>
      </w:r>
      <w:bookmarkStart w:id="1" w:name="PO_dirDivName1"/>
      <w:r>
        <w:rPr>
          <w:rFonts w:hint="eastAsia" w:ascii="黑体" w:hAnsi="黑体" w:eastAsia="黑体" w:cs="黑体"/>
          <w:b/>
          <w:sz w:val="32"/>
          <w:szCs w:val="32"/>
          <w:lang w:val="en-US" w:eastAsia="zh-CN"/>
        </w:rPr>
        <w:t>百色市群众工作服务中心</w:t>
      </w:r>
      <w:r>
        <w:rPr>
          <w:rFonts w:hint="eastAsia" w:ascii="黑体" w:hAnsi="黑体" w:eastAsia="黑体" w:cs="黑体"/>
          <w:b/>
          <w:sz w:val="11"/>
          <w:szCs w:val="11"/>
        </w:rPr>
        <w:t xml:space="preserve"> </w:t>
      </w:r>
      <w:bookmarkEnd w:id="1"/>
      <w:r>
        <w:rPr>
          <w:rFonts w:hint="eastAsia" w:ascii="黑体" w:hAnsi="黑体" w:eastAsia="黑体" w:cs="黑体"/>
          <w:b/>
          <w:sz w:val="32"/>
          <w:szCs w:val="32"/>
        </w:rPr>
        <w:t>概况</w:t>
      </w:r>
    </w:p>
    <w:p>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rPr>
          <w:rFonts w:ascii="黑体" w:hAnsi="黑体" w:eastAsia="黑体" w:cs="仿宋_GB2312"/>
          <w:sz w:val="32"/>
          <w:szCs w:val="32"/>
        </w:rPr>
      </w:pPr>
      <w:r>
        <w:rPr>
          <w:rFonts w:ascii="黑体" w:hAnsi="黑体" w:eastAsia="黑体" w:cs="仿宋_GB2312"/>
          <w:kern w:val="2"/>
          <w:sz w:val="32"/>
          <w:szCs w:val="32"/>
          <w:lang w:val="en-US" w:eastAsia="zh-CN" w:bidi="ar-SA"/>
        </w:rPr>
        <w:t>一、</w:t>
      </w:r>
      <w:r>
        <w:rPr>
          <w:rFonts w:hint="eastAsia" w:ascii="黑体" w:hAnsi="黑体" w:eastAsia="黑体" w:cs="仿宋_GB2312"/>
          <w:sz w:val="32"/>
          <w:szCs w:val="32"/>
        </w:rPr>
        <w:t>主要职责</w:t>
      </w:r>
    </w:p>
    <w:p>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二、</w:t>
      </w:r>
      <w:r>
        <w:rPr>
          <w:rFonts w:hint="eastAsia" w:ascii="黑体" w:hAnsi="黑体" w:eastAsia="黑体" w:cs="仿宋_GB2312"/>
          <w:sz w:val="32"/>
          <w:szCs w:val="32"/>
        </w:rPr>
        <w:t>部门机构设置</w:t>
      </w:r>
    </w:p>
    <w:p>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三、</w:t>
      </w:r>
      <w:r>
        <w:rPr>
          <w:rFonts w:hint="eastAsia" w:ascii="黑体" w:hAnsi="黑体" w:eastAsia="黑体" w:cs="仿宋_GB2312"/>
          <w:sz w:val="32"/>
          <w:szCs w:val="32"/>
        </w:rPr>
        <w:t>部门预算构成</w:t>
      </w:r>
    </w:p>
    <w:p>
      <w:pPr>
        <w:keepNext w:val="0"/>
        <w:keepLines w:val="0"/>
        <w:pageBreakBefore w:val="0"/>
        <w:kinsoku/>
        <w:wordWrap/>
        <w:overflowPunct/>
        <w:topLinePunct w:val="0"/>
        <w:autoSpaceDE/>
        <w:autoSpaceDN/>
        <w:bidi w:val="0"/>
        <w:adjustRightInd/>
        <w:snapToGrid/>
        <w:spacing w:line="560" w:lineRule="exact"/>
        <w:ind w:left="0" w:firstLine="643" w:firstLineChars="200"/>
        <w:outlineLvl w:val="9"/>
        <w:rPr>
          <w:rFonts w:ascii="仿宋_GB2312" w:hAnsi="仿宋_GB2312" w:eastAsia="仿宋_GB2312" w:cs="仿宋_GB2312"/>
          <w:b/>
          <w:sz w:val="32"/>
          <w:szCs w:val="32"/>
        </w:rPr>
      </w:pPr>
      <w:r>
        <w:rPr>
          <w:rFonts w:hint="eastAsia" w:ascii="黑体" w:hAnsi="黑体" w:eastAsia="黑体" w:cs="黑体"/>
          <w:b/>
          <w:sz w:val="32"/>
          <w:szCs w:val="32"/>
        </w:rPr>
        <w:t xml:space="preserve">第二部分  </w:t>
      </w:r>
      <w:bookmarkStart w:id="2" w:name="PO_Year1"/>
      <w:r>
        <w:rPr>
          <w:rFonts w:hint="eastAsia" w:ascii="黑体" w:hAnsi="黑体" w:eastAsia="黑体" w:cs="黑体"/>
          <w:b/>
          <w:sz w:val="32"/>
          <w:szCs w:val="32"/>
          <w:lang w:val="en-US" w:eastAsia="zh-CN"/>
        </w:rPr>
        <w:t xml:space="preserve">百色市群众工作服务中心 </w:t>
      </w:r>
      <w:bookmarkEnd w:id="2"/>
      <w:r>
        <w:rPr>
          <w:rFonts w:hint="eastAsia" w:ascii="黑体" w:hAnsi="黑体" w:eastAsia="黑体" w:cs="黑体"/>
          <w:b/>
          <w:sz w:val="32"/>
          <w:szCs w:val="32"/>
          <w:lang w:val="en-US" w:eastAsia="zh-CN"/>
        </w:rPr>
        <w:t>2024</w:t>
      </w:r>
      <w:r>
        <w:rPr>
          <w:rFonts w:hint="eastAsia" w:ascii="黑体" w:hAnsi="黑体" w:eastAsia="黑体" w:cs="黑体"/>
          <w:b/>
          <w:sz w:val="32"/>
          <w:szCs w:val="32"/>
        </w:rPr>
        <w:t>年部门预算表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黑体" w:hAnsi="黑体" w:eastAsia="黑体" w:cs="仿宋_GB2312"/>
          <w:sz w:val="32"/>
          <w:szCs w:val="32"/>
        </w:rPr>
      </w:pPr>
      <w:r>
        <w:rPr>
          <w:rFonts w:hint="eastAsia" w:ascii="黑体" w:hAnsi="黑体" w:eastAsia="黑体" w:cs="仿宋_GB2312"/>
          <w:sz w:val="32"/>
          <w:szCs w:val="32"/>
        </w:rPr>
        <w:t>一、部门收支总体情况表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黑体" w:hAnsi="黑体" w:eastAsia="黑体" w:cs="仿宋_GB2312"/>
          <w:sz w:val="32"/>
          <w:szCs w:val="32"/>
        </w:rPr>
      </w:pPr>
      <w:r>
        <w:rPr>
          <w:rFonts w:hint="eastAsia" w:ascii="黑体" w:hAnsi="黑体" w:eastAsia="黑体" w:cs="仿宋_GB2312"/>
          <w:sz w:val="32"/>
          <w:szCs w:val="32"/>
        </w:rPr>
        <w:t>二、部门收入总体情况表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黑体" w:hAnsi="黑体" w:eastAsia="黑体" w:cs="仿宋_GB2312"/>
          <w:sz w:val="32"/>
          <w:szCs w:val="32"/>
        </w:rPr>
      </w:pPr>
      <w:r>
        <w:rPr>
          <w:rFonts w:hint="eastAsia" w:ascii="黑体" w:hAnsi="黑体" w:eastAsia="黑体" w:cs="仿宋_GB2312"/>
          <w:sz w:val="32"/>
          <w:szCs w:val="32"/>
        </w:rPr>
        <w:t>三、部门支出总体情况表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黑体" w:hAnsi="黑体" w:eastAsia="黑体" w:cs="仿宋_GB2312"/>
          <w:sz w:val="32"/>
          <w:szCs w:val="32"/>
        </w:rPr>
      </w:pPr>
      <w:r>
        <w:rPr>
          <w:rFonts w:hint="eastAsia" w:ascii="黑体" w:hAnsi="黑体" w:eastAsia="黑体" w:cs="仿宋_GB2312"/>
          <w:sz w:val="32"/>
          <w:szCs w:val="32"/>
        </w:rPr>
        <w:t>四、财政拨款收支总体情况表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hint="eastAsia" w:ascii="黑体" w:hAnsi="黑体" w:eastAsia="黑体" w:cs="仿宋_GB2312"/>
          <w:sz w:val="32"/>
          <w:szCs w:val="32"/>
        </w:rPr>
      </w:pPr>
      <w:r>
        <w:rPr>
          <w:rFonts w:hint="eastAsia" w:ascii="黑体" w:hAnsi="黑体" w:eastAsia="黑体" w:cs="仿宋_GB2312"/>
          <w:sz w:val="32"/>
          <w:szCs w:val="32"/>
        </w:rPr>
        <w:t>五、一般公共预算支出情况表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hint="eastAsia" w:ascii="黑体" w:hAnsi="黑体" w:eastAsia="黑体" w:cs="仿宋_GB2312"/>
          <w:sz w:val="32"/>
          <w:szCs w:val="32"/>
        </w:rPr>
      </w:pPr>
      <w:r>
        <w:rPr>
          <w:rFonts w:hint="eastAsia" w:ascii="黑体" w:hAnsi="黑体" w:eastAsia="黑体" w:cs="仿宋_GB2312"/>
          <w:sz w:val="32"/>
          <w:szCs w:val="32"/>
        </w:rPr>
        <w:t>六、一般公共预算基本支出情况表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黑体" w:hAnsi="黑体" w:eastAsia="黑体" w:cs="仿宋_GB2312"/>
          <w:sz w:val="32"/>
          <w:szCs w:val="32"/>
        </w:rPr>
      </w:pPr>
      <w:r>
        <w:rPr>
          <w:rFonts w:hint="eastAsia" w:ascii="黑体" w:hAnsi="黑体" w:eastAsia="黑体" w:cs="仿宋_GB2312"/>
          <w:sz w:val="32"/>
          <w:szCs w:val="32"/>
        </w:rPr>
        <w:t>七、一般公共预算“三公”经费预算表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hint="eastAsia" w:ascii="黑体" w:hAnsi="黑体" w:eastAsia="黑体" w:cs="仿宋_GB2312"/>
          <w:sz w:val="32"/>
          <w:szCs w:val="32"/>
        </w:rPr>
      </w:pPr>
      <w:r>
        <w:rPr>
          <w:rFonts w:hint="eastAsia" w:ascii="黑体" w:hAnsi="黑体" w:eastAsia="黑体" w:cs="仿宋_GB2312"/>
          <w:sz w:val="32"/>
          <w:szCs w:val="32"/>
        </w:rPr>
        <w:t>八、政府性基金预算支出情况表</w:t>
      </w:r>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黑体" w:hAnsi="黑体" w:eastAsia="黑体" w:cs="仿宋_GB2312"/>
          <w:sz w:val="32"/>
          <w:szCs w:val="32"/>
        </w:rPr>
      </w:pPr>
      <w:r>
        <w:rPr>
          <w:rFonts w:hint="eastAsia" w:ascii="黑体" w:hAnsi="黑体" w:eastAsia="黑体" w:cs="仿宋_GB2312"/>
          <w:sz w:val="32"/>
          <w:szCs w:val="32"/>
        </w:rPr>
        <w:t xml:space="preserve">九、国有资本经营预算支出情况表  </w:t>
      </w:r>
    </w:p>
    <w:p>
      <w:pPr>
        <w:keepNext w:val="0"/>
        <w:keepLines w:val="0"/>
        <w:pageBreakBefore w:val="0"/>
        <w:kinsoku/>
        <w:wordWrap/>
        <w:overflowPunct/>
        <w:topLinePunct w:val="0"/>
        <w:autoSpaceDE/>
        <w:autoSpaceDN/>
        <w:bidi w:val="0"/>
        <w:adjustRightInd/>
        <w:snapToGrid/>
        <w:spacing w:line="560" w:lineRule="exact"/>
        <w:ind w:left="0" w:firstLine="643" w:firstLineChars="200"/>
        <w:rPr>
          <w:rFonts w:ascii="黑体" w:hAnsi="黑体" w:eastAsia="黑体" w:cs="黑体"/>
          <w:b/>
          <w:sz w:val="32"/>
          <w:szCs w:val="32"/>
        </w:rPr>
      </w:pPr>
      <w:r>
        <w:rPr>
          <w:rFonts w:hint="eastAsia" w:ascii="黑体" w:hAnsi="黑体" w:eastAsia="黑体" w:cs="黑体"/>
          <w:b/>
          <w:sz w:val="32"/>
          <w:szCs w:val="32"/>
        </w:rPr>
        <w:t xml:space="preserve">第三部分  </w:t>
      </w:r>
      <w:bookmarkStart w:id="3" w:name="PO_Year2"/>
      <w:r>
        <w:rPr>
          <w:rFonts w:hint="eastAsia" w:ascii="黑体" w:hAnsi="黑体" w:eastAsia="黑体" w:cs="黑体"/>
          <w:b/>
          <w:sz w:val="32"/>
          <w:szCs w:val="32"/>
          <w:lang w:val="en-US" w:eastAsia="zh-CN"/>
        </w:rPr>
        <w:t xml:space="preserve">百色市群众工作服务中心 </w:t>
      </w:r>
      <w:bookmarkEnd w:id="3"/>
      <w:r>
        <w:rPr>
          <w:rFonts w:hint="eastAsia" w:ascii="黑体" w:hAnsi="黑体" w:eastAsia="黑体" w:cs="黑体"/>
          <w:b/>
          <w:sz w:val="32"/>
          <w:szCs w:val="32"/>
          <w:lang w:val="en-US" w:eastAsia="zh-CN"/>
        </w:rPr>
        <w:t>2024</w:t>
      </w:r>
      <w:r>
        <w:rPr>
          <w:rFonts w:hint="eastAsia" w:ascii="黑体" w:hAnsi="黑体" w:eastAsia="黑体" w:cs="黑体"/>
          <w:b/>
          <w:sz w:val="32"/>
          <w:szCs w:val="32"/>
        </w:rPr>
        <w:t>年部门预算情况说明</w:t>
      </w:r>
    </w:p>
    <w:p>
      <w:pPr>
        <w:keepNext w:val="0"/>
        <w:keepLines w:val="0"/>
        <w:pageBreakBefore w:val="0"/>
        <w:kinsoku/>
        <w:wordWrap/>
        <w:overflowPunct/>
        <w:topLinePunct w:val="0"/>
        <w:autoSpaceDE/>
        <w:autoSpaceDN/>
        <w:bidi w:val="0"/>
        <w:adjustRightInd/>
        <w:snapToGrid/>
        <w:spacing w:line="560" w:lineRule="exact"/>
        <w:ind w:left="0" w:firstLine="643" w:firstLineChars="200"/>
        <w:rPr>
          <w:rFonts w:hint="eastAsia" w:ascii="黑体" w:hAnsi="黑体" w:eastAsia="黑体" w:cs="黑体"/>
          <w:b/>
          <w:sz w:val="32"/>
          <w:szCs w:val="32"/>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b/>
          <w:sz w:val="32"/>
          <w:szCs w:val="32"/>
        </w:rPr>
        <w:t>第四部分  名词解释</w:t>
      </w:r>
    </w:p>
    <w:p>
      <w:pPr>
        <w:keepNext w:val="0"/>
        <w:keepLines w:val="0"/>
        <w:pageBreakBefore w:val="0"/>
        <w:kinsoku/>
        <w:wordWrap/>
        <w:overflowPunct/>
        <w:topLinePunct w:val="0"/>
        <w:autoSpaceDE/>
        <w:autoSpaceDN/>
        <w:bidi w:val="0"/>
        <w:adjustRightInd/>
        <w:snapToGrid/>
        <w:spacing w:line="560" w:lineRule="exact"/>
        <w:jc w:val="both"/>
        <w:outlineLvl w:val="0"/>
        <w:rPr>
          <w:rFonts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第一部分  </w:t>
      </w:r>
      <w:bookmarkStart w:id="4" w:name="PO_part1DivName1"/>
      <w:r>
        <w:rPr>
          <w:rFonts w:hint="eastAsia" w:ascii="黑体" w:hAnsi="黑体" w:eastAsia="黑体" w:cs="方正小标宋简体"/>
          <w:sz w:val="44"/>
          <w:szCs w:val="44"/>
          <w:lang w:val="en-US" w:eastAsia="zh-CN"/>
        </w:rPr>
        <w:t>百色市群众工作服务中心</w:t>
      </w:r>
      <w:r>
        <w:rPr>
          <w:rFonts w:hint="eastAsia" w:ascii="黑体" w:hAnsi="黑体" w:eastAsia="黑体" w:cs="方正小标宋简体"/>
          <w:sz w:val="11"/>
          <w:szCs w:val="11"/>
        </w:rPr>
        <w:t xml:space="preserve"> </w:t>
      </w:r>
      <w:bookmarkEnd w:id="4"/>
      <w:r>
        <w:rPr>
          <w:rFonts w:hint="eastAsia" w:ascii="黑体" w:hAnsi="黑体" w:eastAsia="黑体" w:cs="方正小标宋简体"/>
          <w:sz w:val="44"/>
          <w:szCs w:val="44"/>
        </w:rPr>
        <w:t>概况</w:t>
      </w:r>
    </w:p>
    <w:p>
      <w:pPr>
        <w:keepNext w:val="0"/>
        <w:keepLines w:val="0"/>
        <w:pageBreakBefore w:val="0"/>
        <w:kinsoku/>
        <w:wordWrap/>
        <w:overflowPunct/>
        <w:topLinePunct w:val="0"/>
        <w:autoSpaceDE/>
        <w:autoSpaceDN/>
        <w:bidi w:val="0"/>
        <w:adjustRightInd/>
        <w:snapToGrid/>
        <w:spacing w:line="560" w:lineRule="exact"/>
        <w:ind w:left="0" w:firstLine="880" w:firstLineChars="200"/>
        <w:rPr>
          <w:rFonts w:ascii="黑体" w:hAnsi="黑体" w:eastAsia="黑体" w:cs="黑体"/>
          <w:sz w:val="44"/>
          <w:szCs w:val="44"/>
        </w:rPr>
      </w:pPr>
    </w:p>
    <w:p>
      <w:pPr>
        <w:keepNext w:val="0"/>
        <w:keepLines w:val="0"/>
        <w:pageBreakBefore w:val="0"/>
        <w:kinsoku/>
        <w:wordWrap/>
        <w:overflowPunct/>
        <w:topLinePunct w:val="0"/>
        <w:autoSpaceDE/>
        <w:autoSpaceDN/>
        <w:bidi w:val="0"/>
        <w:adjustRightInd/>
        <w:snapToGrid/>
        <w:spacing w:line="560" w:lineRule="exact"/>
        <w:ind w:left="0" w:firstLine="640" w:firstLineChars="200"/>
        <w:outlineLvl w:val="1"/>
        <w:rPr>
          <w:rFonts w:ascii="黑体" w:hAnsi="黑体" w:eastAsia="黑体" w:cs="黑体"/>
          <w:sz w:val="32"/>
          <w:szCs w:val="32"/>
        </w:rPr>
      </w:pPr>
      <w:r>
        <w:rPr>
          <w:rFonts w:hint="eastAsia" w:ascii="黑体" w:hAnsi="黑体" w:eastAsia="黑体" w:cs="黑体"/>
          <w:sz w:val="32"/>
          <w:szCs w:val="32"/>
        </w:rPr>
        <w:t>一、主要职责</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bookmarkStart w:id="77" w:name="_GoBack"/>
      <w:bookmarkEnd w:id="77"/>
      <w:bookmarkStart w:id="5" w:name="PO_part1Responsibilities"/>
      <w:r>
        <w:rPr>
          <w:rFonts w:hint="eastAsia" w:ascii="方正仿宋_GB2312" w:hAnsi="方正仿宋_GB2312" w:eastAsia="方正仿宋_GB2312" w:cs="方正仿宋_GB2312"/>
          <w:sz w:val="32"/>
          <w:szCs w:val="32"/>
          <w:lang w:val="en-US" w:eastAsia="zh-CN"/>
        </w:rPr>
        <w:t xml:space="preserve">负责承担市本级集中接待受理、直接调处、协调指导、监督查处来访事项的综合服务工作；提供登记、接访、办理、督办等“一站式”服务管理，履行接谈受理、督办直查、情况综合、梳理立档等工作职责，保证一般信访事项能在中心当场解决；组织市直相关部门派驻中心处理本部门为责任主体的信访事项，协调处理市直相关部门系统管辖的可在中心内处理的信访事项，负责对市直相关部门系统信访问题转行政复议、仲裁、民事诉讼的进行引导并协调相关部门立案受理；授权依法处理无理闹访、缠访、诈访和煽访等行为，维护中心的日常信访工作秩序。 </w:t>
      </w:r>
      <w:bookmarkEnd w:id="5"/>
    </w:p>
    <w:p>
      <w:pPr>
        <w:keepNext w:val="0"/>
        <w:keepLines w:val="0"/>
        <w:pageBreakBefore w:val="0"/>
        <w:kinsoku/>
        <w:wordWrap/>
        <w:overflowPunct/>
        <w:topLinePunct w:val="0"/>
        <w:autoSpaceDE/>
        <w:autoSpaceDN/>
        <w:bidi w:val="0"/>
        <w:adjustRightInd/>
        <w:snapToGrid/>
        <w:spacing w:line="560" w:lineRule="exact"/>
        <w:ind w:left="0"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二、部门机构设置</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bookmarkStart w:id="6" w:name="PO_part2Organization"/>
      <w:r>
        <w:rPr>
          <w:rFonts w:hint="eastAsia" w:ascii="方正仿宋_GB2312" w:hAnsi="方正仿宋_GB2312" w:eastAsia="方正仿宋_GB2312" w:cs="方正仿宋_GB2312"/>
          <w:sz w:val="32"/>
          <w:szCs w:val="32"/>
          <w:lang w:val="en-US" w:eastAsia="zh-CN"/>
        </w:rPr>
        <w:t>百色市群众工作服务中心是中共百色市委员会百色市人民政府信访局的二层机构，属公益一类事业单位，无内设机构。</w:t>
      </w:r>
      <w:bookmarkEnd w:id="6"/>
    </w:p>
    <w:p>
      <w:pPr>
        <w:keepNext w:val="0"/>
        <w:keepLines w:val="0"/>
        <w:pageBreakBefore w:val="0"/>
        <w:kinsoku/>
        <w:wordWrap/>
        <w:overflowPunct/>
        <w:topLinePunct w:val="0"/>
        <w:autoSpaceDE/>
        <w:autoSpaceDN/>
        <w:bidi w:val="0"/>
        <w:adjustRightInd/>
        <w:snapToGrid/>
        <w:spacing w:line="560" w:lineRule="exact"/>
        <w:ind w:left="0"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三、部门预算构成</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bookmarkStart w:id="7" w:name="PO_part1Organization"/>
      <w:r>
        <w:rPr>
          <w:rFonts w:hint="eastAsia" w:ascii="方正仿宋_GB2312" w:hAnsi="方正仿宋_GB2312" w:eastAsia="方正仿宋_GB2312" w:cs="方正仿宋_GB2312"/>
          <w:sz w:val="32"/>
          <w:szCs w:val="32"/>
          <w:lang w:val="en-US" w:eastAsia="zh-CN"/>
        </w:rPr>
        <w:t xml:space="preserve">百色市群众工作服务中心2022年开始纳入部门预决算汇编范围，属于二级核算单位，本部门无下属单位，部门预算为中心本级预算。  </w:t>
      </w:r>
      <w:bookmarkEnd w:id="7"/>
      <w:r>
        <w:rPr>
          <w:rFonts w:hint="eastAsia" w:ascii="方正仿宋_GB2312" w:hAnsi="方正仿宋_GB2312" w:eastAsia="方正仿宋_GB2312" w:cs="方正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tabs>
          <w:tab w:val="center" w:pos="6979"/>
        </w:tabs>
        <w:kinsoku/>
        <w:wordWrap/>
        <w:overflowPunct/>
        <w:topLinePunct w:val="0"/>
        <w:autoSpaceDE/>
        <w:autoSpaceDN/>
        <w:bidi w:val="0"/>
        <w:adjustRightInd/>
        <w:snapToGrid/>
        <w:spacing w:line="560" w:lineRule="exact"/>
        <w:ind w:left="0" w:firstLine="880" w:firstLineChars="200"/>
        <w:jc w:val="center"/>
        <w:outlineLvl w:val="0"/>
        <w:rPr>
          <w:rFonts w:hint="eastAsia"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第二部分  </w:t>
      </w:r>
      <w:bookmarkStart w:id="8" w:name="PO_part2Year1"/>
      <w:r>
        <w:rPr>
          <w:rFonts w:hint="eastAsia" w:ascii="黑体" w:hAnsi="黑体" w:eastAsia="黑体" w:cs="方正小标宋简体"/>
          <w:sz w:val="44"/>
          <w:szCs w:val="44"/>
          <w:lang w:val="en-US" w:eastAsia="zh-CN"/>
        </w:rPr>
        <w:t xml:space="preserve">百色市群众工作服务中心 </w:t>
      </w:r>
      <w:bookmarkEnd w:id="8"/>
      <w:r>
        <w:rPr>
          <w:rFonts w:hint="eastAsia" w:ascii="黑体" w:hAnsi="黑体" w:eastAsia="黑体" w:cs="方正小标宋简体"/>
          <w:sz w:val="44"/>
          <w:szCs w:val="44"/>
          <w:lang w:val="en-US" w:eastAsia="zh-CN"/>
        </w:rPr>
        <w:t>2024</w:t>
      </w:r>
      <w:r>
        <w:rPr>
          <w:rFonts w:hint="eastAsia" w:ascii="黑体" w:hAnsi="黑体" w:eastAsia="黑体" w:cs="方正小标宋简体"/>
          <w:sz w:val="44"/>
          <w:szCs w:val="44"/>
        </w:rPr>
        <w:t>年部门预算表</w:t>
      </w:r>
    </w:p>
    <w:p>
      <w:pPr>
        <w:keepNext w:val="0"/>
        <w:keepLines w:val="0"/>
        <w:pageBreakBefore w:val="0"/>
        <w:kinsoku/>
        <w:wordWrap/>
        <w:overflowPunct/>
        <w:topLinePunct w:val="0"/>
        <w:autoSpaceDE/>
        <w:autoSpaceDN/>
        <w:bidi w:val="0"/>
        <w:adjustRightInd/>
        <w:snapToGrid/>
        <w:spacing w:line="560" w:lineRule="exact"/>
        <w:ind w:left="0" w:firstLine="420" w:firstLineChars="200"/>
        <w:jc w:val="left"/>
        <w:rPr>
          <w:rFonts w:hint="eastAsia"/>
        </w:rPr>
      </w:pPr>
      <w:bookmarkStart w:id="9" w:name="PO_part2Table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1" w:hRule="atLeast"/>
          <w:tblHeader/>
        </w:trPr>
        <w:tc>
          <w:tcPr>
            <w:tcW w:w="14174" w:type="dxa"/>
            <w:gridSpan w:val="4"/>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rPr>
            </w:pPr>
            <w:r>
              <w:rPr>
                <w:rFonts w:hint="eastAsia" w:ascii="宋体" w:hAnsi="宋体"/>
                <w:color w:val="000000"/>
                <w:kern w:val="0"/>
                <w:sz w:val="18"/>
                <w:szCs w:val="18"/>
                <w:lang w:val="en-US" w:eastAsia="zh-CN"/>
              </w:rPr>
              <w:t>预算公开01表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4"/>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630" w:type="dxa"/>
            <w:gridSpan w:val="3"/>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rPr>
            </w:pPr>
            <w:r>
              <w:rPr>
                <w:rFonts w:hint="eastAsia" w:ascii="宋体" w:hAnsi="宋体"/>
                <w:color w:val="000000"/>
                <w:kern w:val="0"/>
                <w:sz w:val="18"/>
                <w:szCs w:val="18"/>
              </w:rPr>
              <w:t>单位名称：</w:t>
            </w:r>
            <w:bookmarkStart w:id="10" w:name="PO_part2Table1DivName1"/>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0"/>
          </w:p>
        </w:tc>
        <w:tc>
          <w:tcPr>
            <w:tcW w:w="3544" w:type="dxa"/>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86"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s="宋体"/>
                <w:sz w:val="18"/>
                <w:szCs w:val="18"/>
              </w:rPr>
            </w:pPr>
            <w:r>
              <w:rPr>
                <w:rFonts w:hint="eastAsia" w:ascii="宋体" w:hAnsi="宋体" w:cs="宋体"/>
                <w:color w:val="000000"/>
                <w:kern w:val="0"/>
                <w:sz w:val="18"/>
                <w:szCs w:val="18"/>
              </w:rPr>
              <w:t>收        入</w:t>
            </w:r>
          </w:p>
        </w:tc>
        <w:tc>
          <w:tcPr>
            <w:tcW w:w="7088"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s="宋体"/>
                <w:sz w:val="18"/>
                <w:szCs w:val="18"/>
              </w:rPr>
            </w:pPr>
            <w:r>
              <w:rPr>
                <w:rFonts w:hint="eastAsia" w:ascii="宋体" w:hAnsi="宋体" w:cs="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w:t>
            </w:r>
          </w:p>
        </w:tc>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目（按支出功能科目分类）</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一、一般公共预算拨款</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155.09</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一、一般公共服务支出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106.22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二、外交支出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155.09</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三、国防支出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（三）一般债券收入</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四、公共安全支出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二、政府性基金预算</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五、教育支出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六、科学技术支出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七、文化旅游体育与传媒支出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（三）专项债券收入</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八、社会保障和就业支出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31.69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三、国有资本经营预算</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九、卫生健康支出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十、节能环保支出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十一、城乡社区支出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四、财政专户管理资金</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十二、农林水支出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五、单位资金</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十三、交通运输支出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（一）事业收入</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十四、资源勘探工业信息等支出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（二）事业单位经营收入</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十五、商业服务业等支出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（三）上级补助收入</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十六、金融支出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（四）附属单位上缴收入</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十七、援助其他地区支出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（五）其他收入</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十八、自然资源海洋气象等支出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十九、住房保障支出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二十、粮油物资储备支出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二十一、国有资本经营预算支出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二十二、灾害防治及应急管理支出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二十三、其他支出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二十四、债务还本支出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二十五、债务付息支出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二十六、债务发行费用支出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本 年 收 入 合 计</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155.09</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本 年 支 出 合 计</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155.09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上年结转结余</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结转下年支出</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收  入  总  计</w:t>
            </w: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155.09</w:t>
            </w: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支  出  总  计</w:t>
            </w: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r>
              <w:rPr>
                <w:rFonts w:hint="eastAsia" w:ascii="宋体" w:hAnsi="宋体" w:cs="宋体"/>
                <w:color w:val="000000"/>
                <w:sz w:val="18"/>
                <w:szCs w:val="18"/>
              </w:rPr>
              <w:t>155.09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sz w:val="18"/>
                <w:szCs w:val="18"/>
              </w:rPr>
            </w:pPr>
          </w:p>
        </w:tc>
        <w:tc>
          <w:tcPr>
            <w:tcW w:w="35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p>
        </w:tc>
        <w:tc>
          <w:tcPr>
            <w:tcW w:w="35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sz w:val="18"/>
                <w:szCs w:val="18"/>
              </w:rPr>
            </w:pPr>
          </w:p>
        </w:tc>
        <w:tc>
          <w:tcPr>
            <w:tcW w:w="35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s="宋体"/>
                <w:color w:val="000000"/>
                <w:sz w:val="18"/>
                <w:szCs w:val="18"/>
              </w:rPr>
            </w:pPr>
          </w:p>
        </w:tc>
      </w:tr>
      <w:bookmarkEnd w:id="9"/>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sz w:val="18"/>
          <w:szCs w:val="18"/>
        </w:rPr>
      </w:pPr>
      <w:r>
        <w:rPr>
          <w:rFonts w:hint="eastAsia" w:ascii="宋体" w:hAnsi="宋体" w:cs="宋体"/>
          <w:color w:val="000000"/>
          <w:kern w:val="0"/>
          <w:sz w:val="18"/>
          <w:szCs w:val="18"/>
          <w:lang w:bidi="ar"/>
        </w:rPr>
        <w:t>注：</w:t>
      </w:r>
      <w:bookmarkStart w:id="11" w:name="PO_part2Table1Remark1"/>
      <w:r>
        <w:rPr>
          <w:rFonts w:hint="eastAsia" w:ascii="宋体" w:hAnsi="宋体" w:cs="宋体"/>
          <w:color w:val="000000"/>
          <w:kern w:val="0"/>
          <w:sz w:val="18"/>
          <w:szCs w:val="18"/>
          <w:lang w:bidi="ar"/>
        </w:rPr>
        <w:t xml:space="preserve"> 报表金额单位转换时可能存在四舍五入尾数误差。  </w:t>
      </w:r>
      <w:bookmarkEnd w:id="11"/>
    </w:p>
    <w:p>
      <w:pPr>
        <w:keepNext w:val="0"/>
        <w:keepLines w:val="0"/>
        <w:pageBreakBefore w:val="0"/>
        <w:kinsoku/>
        <w:wordWrap/>
        <w:overflowPunct/>
        <w:topLinePunct w:val="0"/>
        <w:autoSpaceDE/>
        <w:autoSpaceDN/>
        <w:bidi w:val="0"/>
        <w:adjustRightInd/>
        <w:snapToGrid/>
        <w:spacing w:line="560" w:lineRule="exact"/>
        <w:ind w:left="0" w:firstLine="420" w:firstLineChars="200"/>
        <w:sectPr>
          <w:pgSz w:w="16838" w:h="11906" w:orient="landscape"/>
          <w:pgMar w:top="1800" w:right="1440" w:bottom="1800" w:left="144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pPr>
      <w:bookmarkStart w:id="12" w:name="PO_part2Table2"/>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171"/>
        <w:gridCol w:w="1138"/>
        <w:gridCol w:w="969"/>
        <w:gridCol w:w="965"/>
        <w:gridCol w:w="1009"/>
        <w:gridCol w:w="965"/>
        <w:gridCol w:w="940"/>
        <w:gridCol w:w="674"/>
        <w:gridCol w:w="297"/>
        <w:gridCol w:w="1008"/>
        <w:gridCol w:w="969"/>
        <w:gridCol w:w="967"/>
        <w:gridCol w:w="1057"/>
        <w:gridCol w:w="985"/>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预算公开02</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ascii="宋体" w:hAnsi="宋体"/>
                <w:b/>
                <w:bCs/>
                <w:color w:val="000000"/>
                <w:kern w:val="0"/>
                <w:sz w:val="24"/>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收入总体情况表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9001" w:type="dxa"/>
            <w:gridSpan w:val="9"/>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ascii="宋体" w:hAnsi="宋体"/>
                <w:color w:val="000000"/>
                <w:kern w:val="0"/>
                <w:sz w:val="18"/>
                <w:szCs w:val="18"/>
              </w:rPr>
            </w:pPr>
            <w:r>
              <w:rPr>
                <w:rFonts w:hint="eastAsia" w:ascii="宋体" w:hAnsi="宋体"/>
                <w:color w:val="000000"/>
                <w:kern w:val="0"/>
                <w:sz w:val="18"/>
                <w:szCs w:val="18"/>
              </w:rPr>
              <w:t>单位名称：</w:t>
            </w:r>
            <w:bookmarkStart w:id="13" w:name="PO_part2Table1DivName2"/>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3"/>
          </w:p>
        </w:tc>
        <w:tc>
          <w:tcPr>
            <w:tcW w:w="6306" w:type="dxa"/>
            <w:gridSpan w:val="7"/>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代码</w:t>
            </w:r>
          </w:p>
        </w:tc>
        <w:tc>
          <w:tcPr>
            <w:tcW w:w="1171"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名称</w:t>
            </w:r>
          </w:p>
        </w:tc>
        <w:tc>
          <w:tcPr>
            <w:tcW w:w="1138"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5819" w:type="dxa"/>
            <w:gridSpan w:val="7"/>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本年收入</w:t>
            </w:r>
          </w:p>
        </w:tc>
        <w:tc>
          <w:tcPr>
            <w:tcW w:w="6009" w:type="dxa"/>
            <w:gridSpan w:val="6"/>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kern w:val="0"/>
                <w:sz w:val="18"/>
                <w:szCs w:val="18"/>
                <w:lang w:bidi="ar"/>
              </w:rPr>
            </w:pPr>
          </w:p>
        </w:tc>
        <w:tc>
          <w:tcPr>
            <w:tcW w:w="117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s="宋体"/>
                <w:color w:val="000000"/>
                <w:kern w:val="0"/>
                <w:sz w:val="18"/>
                <w:szCs w:val="18"/>
                <w:lang w:bidi="ar"/>
              </w:rPr>
            </w:pPr>
          </w:p>
        </w:tc>
        <w:tc>
          <w:tcPr>
            <w:tcW w:w="1138"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kern w:val="0"/>
                <w:sz w:val="18"/>
                <w:szCs w:val="18"/>
              </w:rPr>
            </w:pP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100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97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c>
          <w:tcPr>
            <w:tcW w:w="1008"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105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8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102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kern w:val="0"/>
                <w:sz w:val="18"/>
                <w:szCs w:val="18"/>
              </w:rPr>
            </w:pPr>
          </w:p>
        </w:tc>
        <w:tc>
          <w:tcPr>
            <w:tcW w:w="1171"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kern w:val="0"/>
                <w:sz w:val="18"/>
                <w:szCs w:val="18"/>
              </w:rPr>
            </w:pPr>
          </w:p>
        </w:tc>
        <w:tc>
          <w:tcPr>
            <w:tcW w:w="113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kern w:val="0"/>
                <w:sz w:val="18"/>
                <w:szCs w:val="18"/>
              </w:rPr>
            </w:pPr>
            <w:r>
              <w:rPr>
                <w:rFonts w:hint="eastAsia" w:ascii="宋体" w:hAnsi="宋体"/>
                <w:color w:val="000000"/>
                <w:kern w:val="0"/>
                <w:sz w:val="18"/>
                <w:szCs w:val="18"/>
              </w:rPr>
              <w:t>1</w:t>
            </w: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100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9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97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w:t>
            </w:r>
          </w:p>
        </w:tc>
        <w:tc>
          <w:tcPr>
            <w:tcW w:w="1008"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w:t>
            </w:r>
          </w:p>
        </w:tc>
        <w:tc>
          <w:tcPr>
            <w:tcW w:w="105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11</w:t>
            </w:r>
          </w:p>
        </w:tc>
        <w:tc>
          <w:tcPr>
            <w:tcW w:w="98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w:t>
            </w:r>
          </w:p>
        </w:tc>
        <w:tc>
          <w:tcPr>
            <w:tcW w:w="102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sz w:val="18"/>
                <w:szCs w:val="18"/>
              </w:rPr>
            </w:pPr>
          </w:p>
        </w:tc>
        <w:tc>
          <w:tcPr>
            <w:tcW w:w="117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13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96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100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71"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00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96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5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8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sz w:val="18"/>
                <w:szCs w:val="18"/>
              </w:rPr>
            </w:pPr>
            <w:r>
              <w:rPr>
                <w:rFonts w:hint="eastAsia" w:ascii="宋体" w:hAnsi="宋体" w:cs="宋体"/>
                <w:color w:val="000000"/>
                <w:kern w:val="0"/>
                <w:sz w:val="18"/>
                <w:szCs w:val="18"/>
                <w:lang w:eastAsia="zh-CN"/>
              </w:rPr>
              <w:t>126</w:t>
            </w:r>
          </w:p>
        </w:tc>
        <w:tc>
          <w:tcPr>
            <w:tcW w:w="117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中共百色市委员会百色市人民政府信访局</w:t>
            </w:r>
          </w:p>
        </w:tc>
        <w:tc>
          <w:tcPr>
            <w:tcW w:w="113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96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100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71"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00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96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5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8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sz w:val="18"/>
                <w:szCs w:val="18"/>
              </w:rPr>
            </w:pPr>
            <w:r>
              <w:rPr>
                <w:rFonts w:hint="eastAsia" w:ascii="宋体" w:hAnsi="宋体" w:cs="宋体"/>
                <w:color w:val="000000"/>
                <w:kern w:val="0"/>
                <w:sz w:val="18"/>
                <w:szCs w:val="18"/>
                <w:lang w:eastAsia="zh-CN"/>
              </w:rPr>
              <w:t>126002</w:t>
            </w:r>
          </w:p>
        </w:tc>
        <w:tc>
          <w:tcPr>
            <w:tcW w:w="117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13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96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100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71"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00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96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5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98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kern w:val="0"/>
                <w:sz w:val="18"/>
                <w:szCs w:val="18"/>
              </w:rPr>
            </w:pPr>
          </w:p>
        </w:tc>
        <w:tc>
          <w:tcPr>
            <w:tcW w:w="117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kern w:val="0"/>
                <w:sz w:val="18"/>
                <w:szCs w:val="18"/>
              </w:rPr>
            </w:pPr>
          </w:p>
        </w:tc>
        <w:tc>
          <w:tcPr>
            <w:tcW w:w="1138"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1009"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40"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71" w:type="dxa"/>
            <w:gridSpan w:val="2"/>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1008"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69"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67"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1057"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985"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c>
          <w:tcPr>
            <w:tcW w:w="1023" w:type="dxa"/>
            <w:noWrap w:val="0"/>
            <w:vAlign w:val="center"/>
          </w:tcPr>
          <w:p>
            <w:pPr>
              <w:keepNext w:val="0"/>
              <w:keepLines w:val="0"/>
              <w:pageBreakBefore w:val="0"/>
              <w:widowControl/>
              <w:tabs>
                <w:tab w:val="left" w:pos="560"/>
              </w:tabs>
              <w:kinsoku/>
              <w:wordWrap/>
              <w:overflowPunct/>
              <w:topLinePunct w:val="0"/>
              <w:autoSpaceDE/>
              <w:autoSpaceDN/>
              <w:bidi w:val="0"/>
              <w:adjustRightInd/>
              <w:snapToGrid/>
              <w:spacing w:line="560" w:lineRule="exact"/>
              <w:ind w:left="0" w:firstLine="360" w:firstLineChars="200"/>
              <w:jc w:val="right"/>
              <w:textAlignment w:val="center"/>
              <w:rPr>
                <w:rFonts w:ascii="宋体" w:hAnsi="宋体"/>
                <w:color w:val="000000"/>
                <w:kern w:val="0"/>
                <w:sz w:val="18"/>
                <w:szCs w:val="18"/>
              </w:rPr>
            </w:pPr>
          </w:p>
        </w:tc>
      </w:tr>
      <w:bookmarkEnd w:id="12"/>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4" w:name="PO_part2Table1Remark2"/>
      <w:r>
        <w:rPr>
          <w:rFonts w:hint="eastAsia" w:ascii="宋体" w:hAnsi="宋体" w:cs="宋体"/>
          <w:color w:val="000000"/>
          <w:kern w:val="0"/>
          <w:sz w:val="18"/>
          <w:szCs w:val="18"/>
          <w:lang w:bidi="ar"/>
        </w:rPr>
        <w:t xml:space="preserve"> 报表金额单位转换时可能存在四舍五入尾数误差。</w:t>
      </w:r>
      <w:bookmarkEnd w:id="14"/>
      <w:r>
        <w:rPr>
          <w:rFonts w:hint="eastAsia" w:ascii="宋体" w:hAnsi="宋体" w:cs="宋体"/>
          <w:color w:val="000000"/>
          <w:kern w:val="0"/>
          <w:sz w:val="18"/>
          <w:szCs w:val="18"/>
          <w:lang w:bidi="ar"/>
        </w:rPr>
        <w:t xml:space="preserve">  </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pPr>
      <w:bookmarkStart w:id="15" w:name="PO_part2Table3"/>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
        <w:gridCol w:w="610"/>
        <w:gridCol w:w="4"/>
        <w:gridCol w:w="616"/>
        <w:gridCol w:w="2175"/>
        <w:gridCol w:w="2191"/>
        <w:gridCol w:w="1364"/>
        <w:gridCol w:w="940"/>
        <w:gridCol w:w="1255"/>
        <w:gridCol w:w="2032"/>
        <w:gridCol w:w="1513"/>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预算公开03</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支出总体情况表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574" w:type="dxa"/>
            <w:gridSpan w:val="8"/>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ascii="宋体" w:hAnsi="宋体"/>
                <w:b/>
                <w:bCs/>
                <w:color w:val="000000"/>
                <w:kern w:val="0"/>
                <w:sz w:val="26"/>
                <w:szCs w:val="26"/>
              </w:rPr>
            </w:pPr>
            <w:r>
              <w:rPr>
                <w:rFonts w:hint="eastAsia" w:ascii="宋体" w:hAnsi="宋体"/>
                <w:color w:val="000000"/>
                <w:kern w:val="0"/>
                <w:sz w:val="18"/>
                <w:szCs w:val="18"/>
              </w:rPr>
              <w:t>单位名称：</w:t>
            </w:r>
            <w:bookmarkStart w:id="16" w:name="PO_part2Table1DivName3"/>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6"/>
          </w:p>
        </w:tc>
        <w:tc>
          <w:tcPr>
            <w:tcW w:w="7733" w:type="dxa"/>
            <w:gridSpan w:val="5"/>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b/>
                <w:bCs/>
                <w:color w:val="000000"/>
                <w:kern w:val="0"/>
                <w:sz w:val="26"/>
                <w:szCs w:val="26"/>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trPr>
        <w:tc>
          <w:tcPr>
            <w:tcW w:w="1844" w:type="dxa"/>
            <w:gridSpan w:val="5"/>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kern w:val="0"/>
                <w:sz w:val="18"/>
                <w:szCs w:val="18"/>
              </w:rPr>
              <w:t>科目编码</w:t>
            </w:r>
          </w:p>
        </w:tc>
        <w:tc>
          <w:tcPr>
            <w:tcW w:w="2175"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sz w:val="18"/>
                <w:szCs w:val="18"/>
              </w:rPr>
              <w:t>部门（单位）代码</w:t>
            </w:r>
          </w:p>
        </w:tc>
        <w:tc>
          <w:tcPr>
            <w:tcW w:w="2191"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9097" w:type="dxa"/>
            <w:gridSpan w:val="6"/>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本年支出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blHeader/>
        </w:trPr>
        <w:tc>
          <w:tcPr>
            <w:tcW w:w="1844" w:type="dxa"/>
            <w:gridSpan w:val="5"/>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p>
        </w:tc>
        <w:tc>
          <w:tcPr>
            <w:tcW w:w="217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219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1364"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940"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基本支出</w:t>
            </w:r>
          </w:p>
        </w:tc>
        <w:tc>
          <w:tcPr>
            <w:tcW w:w="6793" w:type="dxa"/>
            <w:gridSpan w:val="4"/>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blHeader/>
        </w:trPr>
        <w:tc>
          <w:tcPr>
            <w:tcW w:w="1844" w:type="dxa"/>
            <w:gridSpan w:val="5"/>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p>
        </w:tc>
        <w:tc>
          <w:tcPr>
            <w:tcW w:w="217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219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136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p>
        </w:tc>
        <w:tc>
          <w:tcPr>
            <w:tcW w:w="9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p>
        </w:tc>
        <w:tc>
          <w:tcPr>
            <w:tcW w:w="1255"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sz w:val="18"/>
                <w:szCs w:val="18"/>
                <w:lang w:val="en-US" w:eastAsia="zh-CN"/>
              </w:rPr>
              <w:t>小计</w:t>
            </w:r>
          </w:p>
        </w:tc>
        <w:tc>
          <w:tcPr>
            <w:tcW w:w="5538" w:type="dxa"/>
            <w:gridSpan w:val="3"/>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trPr>
        <w:tc>
          <w:tcPr>
            <w:tcW w:w="1844" w:type="dxa"/>
            <w:gridSpan w:val="5"/>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p>
        </w:tc>
        <w:tc>
          <w:tcPr>
            <w:tcW w:w="217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219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136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p>
        </w:tc>
        <w:tc>
          <w:tcPr>
            <w:tcW w:w="9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p>
        </w:tc>
        <w:tc>
          <w:tcPr>
            <w:tcW w:w="125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lang w:val="en-US" w:eastAsia="zh-CN"/>
              </w:rPr>
            </w:pPr>
          </w:p>
        </w:tc>
        <w:tc>
          <w:tcPr>
            <w:tcW w:w="2032"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事业单位经营支出</w:t>
            </w:r>
          </w:p>
        </w:tc>
        <w:tc>
          <w:tcPr>
            <w:tcW w:w="1513"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上缴上级支出</w:t>
            </w:r>
          </w:p>
        </w:tc>
        <w:tc>
          <w:tcPr>
            <w:tcW w:w="1993"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sz w:val="18"/>
                <w:szCs w:val="18"/>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blHeader/>
        </w:trPr>
        <w:tc>
          <w:tcPr>
            <w:tcW w:w="614" w:type="dxa"/>
            <w:gridSpan w:val="2"/>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center"/>
              <w:textAlignment w:val="center"/>
              <w:rPr>
                <w:rFonts w:hint="eastAsia" w:ascii="宋体" w:hAnsi="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w:t>
            </w:r>
          </w:p>
        </w:tc>
        <w:tc>
          <w:tcPr>
            <w:tcW w:w="614" w:type="dxa"/>
            <w:gridSpan w:val="2"/>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616"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175"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2191"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1364"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1</w:t>
            </w:r>
          </w:p>
        </w:tc>
        <w:tc>
          <w:tcPr>
            <w:tcW w:w="940"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2</w:t>
            </w:r>
          </w:p>
        </w:tc>
        <w:tc>
          <w:tcPr>
            <w:tcW w:w="1255"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c>
          <w:tcPr>
            <w:tcW w:w="2032"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4</w:t>
            </w:r>
          </w:p>
        </w:tc>
        <w:tc>
          <w:tcPr>
            <w:tcW w:w="1513"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5</w:t>
            </w:r>
          </w:p>
        </w:tc>
        <w:tc>
          <w:tcPr>
            <w:tcW w:w="1993"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合计</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155.09</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155.09</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r>
              <w:rPr>
                <w:rFonts w:hint="eastAsia" w:ascii="宋体" w:hAnsi="宋体"/>
                <w:color w:val="000000"/>
                <w:sz w:val="18"/>
                <w:szCs w:val="18"/>
              </w:rPr>
              <w:t>126</w:t>
            </w: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中共百色市委员会百色市人民政府信访局</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155.09</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155.09</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r>
              <w:rPr>
                <w:rFonts w:hint="eastAsia" w:ascii="宋体" w:hAnsi="宋体"/>
                <w:color w:val="000000"/>
                <w:sz w:val="18"/>
                <w:szCs w:val="18"/>
              </w:rPr>
              <w:t>126002</w:t>
            </w: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百色市群众工作服务中心</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155.09</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155.09</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03</w:t>
            </w: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50</w:t>
            </w: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事业运行</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106.22</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106.22</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05</w:t>
            </w: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机关事业单位基本养老保险缴费支出</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21.13</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21.13</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06</w:t>
            </w: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机关事业单位职业年金缴费支出</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10.56</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10.56</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02</w:t>
            </w: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事业单位医疗</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4.79</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4.79</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221</w:t>
            </w:r>
          </w:p>
        </w:tc>
        <w:tc>
          <w:tcPr>
            <w:tcW w:w="612"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02</w:t>
            </w:r>
          </w:p>
        </w:tc>
        <w:tc>
          <w:tcPr>
            <w:tcW w:w="620"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ascii="宋体" w:hAnsi="宋体"/>
                <w:color w:val="000000"/>
                <w:sz w:val="18"/>
                <w:szCs w:val="18"/>
              </w:rPr>
            </w:pPr>
          </w:p>
        </w:tc>
        <w:tc>
          <w:tcPr>
            <w:tcW w:w="2191"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住房公积金</w:t>
            </w:r>
          </w:p>
        </w:tc>
        <w:tc>
          <w:tcPr>
            <w:tcW w:w="136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12.39</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r>
              <w:rPr>
                <w:rFonts w:hint="eastAsia" w:ascii="宋体" w:hAnsi="宋体"/>
                <w:color w:val="000000"/>
                <w:sz w:val="18"/>
                <w:szCs w:val="18"/>
              </w:rPr>
              <w:t>12.39</w:t>
            </w:r>
          </w:p>
        </w:tc>
        <w:tc>
          <w:tcPr>
            <w:tcW w:w="12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sz w:val="18"/>
                <w:szCs w:val="18"/>
              </w:rPr>
            </w:pPr>
          </w:p>
        </w:tc>
        <w:tc>
          <w:tcPr>
            <w:tcW w:w="203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1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99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bookmarkEnd w:id="15"/>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7" w:name="PO_part2Table1Remark3"/>
      <w:r>
        <w:rPr>
          <w:rFonts w:hint="eastAsia" w:ascii="宋体" w:hAnsi="宋体" w:cs="宋体"/>
          <w:color w:val="000000"/>
          <w:kern w:val="0"/>
          <w:sz w:val="18"/>
          <w:szCs w:val="18"/>
          <w:lang w:bidi="ar"/>
        </w:rPr>
        <w:t xml:space="preserve"> 报表金额单位转换时可能存在四舍五入尾数误差。</w:t>
      </w:r>
      <w:bookmarkEnd w:id="17"/>
      <w:r>
        <w:rPr>
          <w:rFonts w:hint="eastAsia" w:ascii="宋体" w:hAnsi="宋体" w:cs="宋体"/>
          <w:color w:val="000000"/>
          <w:kern w:val="0"/>
          <w:sz w:val="18"/>
          <w:szCs w:val="18"/>
          <w:lang w:bidi="ar"/>
        </w:rPr>
        <w:t xml:space="preserve">  </w:t>
      </w: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pPr>
      <w:bookmarkStart w:id="18" w:name="PO_part2Table4"/>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7"/>
        <w:gridCol w:w="3826"/>
        <w:gridCol w:w="3827"/>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rPr>
            </w:pPr>
            <w:r>
              <w:rPr>
                <w:rFonts w:hint="eastAsia" w:ascii="宋体" w:hAnsi="宋体"/>
                <w:color w:val="000000"/>
                <w:kern w:val="0"/>
                <w:sz w:val="18"/>
                <w:szCs w:val="18"/>
                <w:lang w:val="en-US" w:eastAsia="zh-CN"/>
              </w:rPr>
              <w:t>预算公开04</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rPr>
            </w:pPr>
            <w:r>
              <w:rPr>
                <w:rFonts w:hint="eastAsia" w:ascii="宋体" w:hAnsi="宋体"/>
                <w:b/>
                <w:bCs/>
                <w:color w:val="000000"/>
                <w:kern w:val="0"/>
                <w:sz w:val="26"/>
                <w:szCs w:val="26"/>
              </w:rPr>
              <w:t>财政拨款收支总体情况表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480" w:type="dxa"/>
            <w:gridSpan w:val="3"/>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rPr>
            </w:pPr>
            <w:r>
              <w:rPr>
                <w:rFonts w:hint="eastAsia" w:ascii="宋体" w:hAnsi="宋体"/>
                <w:color w:val="000000"/>
                <w:kern w:val="0"/>
                <w:sz w:val="18"/>
                <w:szCs w:val="18"/>
              </w:rPr>
              <w:t>单位名称：</w:t>
            </w:r>
            <w:bookmarkStart w:id="19" w:name="PO_part2Table1DivName4"/>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9"/>
          </w:p>
        </w:tc>
        <w:tc>
          <w:tcPr>
            <w:tcW w:w="3827" w:type="dxa"/>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65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kern w:val="0"/>
                <w:sz w:val="18"/>
                <w:szCs w:val="18"/>
              </w:rPr>
              <w:t>收        入</w:t>
            </w:r>
          </w:p>
        </w:tc>
        <w:tc>
          <w:tcPr>
            <w:tcW w:w="765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kern w:val="0"/>
                <w:sz w:val="18"/>
                <w:szCs w:val="18"/>
              </w:rPr>
              <w:t>项    目</w:t>
            </w:r>
          </w:p>
        </w:tc>
        <w:tc>
          <w:tcPr>
            <w:tcW w:w="38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kern w:val="0"/>
                <w:sz w:val="18"/>
                <w:szCs w:val="18"/>
              </w:rPr>
              <w:t>预算数</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kern w:val="0"/>
                <w:sz w:val="18"/>
                <w:szCs w:val="18"/>
              </w:rPr>
              <w:t>项    目（按支出功能科目分类）</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一、本年收入</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一、本年支出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（一）一般公共服务支出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106.22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（二）外交支出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（三）国防支出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3、一般债券收入</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（四）公共安全支出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（五）教育支出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（六）科学技术支出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（七）文化旅游体育与传媒支出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3、专项债券收入</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（八）社会保障和就业支出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31.69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（九）卫生健康支出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（十）节能环保支出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（十一）城乡社区支出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二、上年结转结余</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（十二）农林水支出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（十三）交通运输支出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（十四）资源勘探工业信息等支出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（十五）商业服务业等支出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（十六）金融支出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（十七）援助其他地区支出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（十八）自然资源海洋气象等支出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（十九）住房保障支出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（二十）粮油物资储备支出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（二十一）国有资本经营预算支出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（二十二）灾害防治及应急管理支出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（二十三）其他支出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（二十四）债务还本支出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（二十五）债务付息支出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（二十六）债务发行费用支出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二、结转下年支出</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收   入   总   计</w:t>
            </w:r>
          </w:p>
        </w:tc>
        <w:tc>
          <w:tcPr>
            <w:tcW w:w="382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3827"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支　　　出　　　总　　　计</w:t>
            </w:r>
          </w:p>
        </w:tc>
        <w:tc>
          <w:tcPr>
            <w:tcW w:w="3827"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p>
        </w:tc>
        <w:tc>
          <w:tcPr>
            <w:tcW w:w="38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ascii="宋体" w:hAnsi="宋体"/>
                <w:color w:val="000000"/>
                <w:sz w:val="18"/>
                <w:szCs w:val="18"/>
              </w:rPr>
            </w:pPr>
          </w:p>
        </w:tc>
        <w:tc>
          <w:tcPr>
            <w:tcW w:w="382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p>
        </w:tc>
        <w:tc>
          <w:tcPr>
            <w:tcW w:w="3827"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ascii="宋体" w:hAnsi="宋体"/>
                <w:color w:val="000000"/>
                <w:sz w:val="18"/>
                <w:szCs w:val="18"/>
              </w:rPr>
            </w:pPr>
          </w:p>
        </w:tc>
      </w:tr>
      <w:bookmarkEnd w:id="18"/>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注：</w:t>
      </w:r>
      <w:bookmarkStart w:id="20" w:name="PO_part2Table1Remark4"/>
      <w:r>
        <w:rPr>
          <w:rFonts w:hint="eastAsia" w:ascii="宋体" w:hAnsi="宋体" w:cs="宋体"/>
          <w:color w:val="000000"/>
          <w:kern w:val="0"/>
          <w:sz w:val="18"/>
          <w:szCs w:val="18"/>
          <w:lang w:bidi="ar"/>
        </w:rPr>
        <w:t xml:space="preserve"> 表中功能分类科目，根据各部门实际预算编制情况编列。</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r>
        <w:rPr>
          <w:rFonts w:hint="eastAsia" w:ascii="宋体" w:hAnsi="宋体" w:cs="宋体"/>
          <w:color w:val="000000"/>
          <w:kern w:val="0"/>
          <w:sz w:val="18"/>
          <w:szCs w:val="18"/>
          <w:lang w:bidi="ar"/>
        </w:rPr>
        <w:t xml:space="preserve">报表金额单位转换时可能存在四舍五入尾数误差。 </w:t>
      </w:r>
      <w:bookmarkEnd w:id="20"/>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pPr>
      <w:bookmarkStart w:id="21" w:name="PO_part2Table5"/>
    </w:p>
    <w:tbl>
      <w:tblPr>
        <w:tblStyle w:val="11"/>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495"/>
        <w:gridCol w:w="480"/>
        <w:gridCol w:w="919"/>
        <w:gridCol w:w="2717"/>
        <w:gridCol w:w="1704"/>
        <w:gridCol w:w="2080"/>
        <w:gridCol w:w="2126"/>
        <w:gridCol w:w="184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预算公开05</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rPr>
              <w:t>一般公共预算支出情况表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959" w:type="dxa"/>
            <w:gridSpan w:val="6"/>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rPr>
            </w:pPr>
            <w:r>
              <w:rPr>
                <w:rFonts w:hint="eastAsia" w:ascii="宋体" w:hAnsi="宋体"/>
                <w:color w:val="000000"/>
                <w:kern w:val="0"/>
                <w:sz w:val="18"/>
                <w:szCs w:val="18"/>
              </w:rPr>
              <w:t>单位名称：</w:t>
            </w:r>
            <w:bookmarkStart w:id="22" w:name="PO_part2Table1DivName5"/>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2"/>
            <w:r>
              <w:rPr>
                <w:rFonts w:ascii="宋体" w:hAnsi="宋体"/>
                <w:color w:val="000000"/>
                <w:kern w:val="0"/>
                <w:sz w:val="18"/>
                <w:szCs w:val="18"/>
              </w:rPr>
              <w:t xml:space="preserve">                      </w:t>
            </w:r>
          </w:p>
        </w:tc>
        <w:tc>
          <w:tcPr>
            <w:tcW w:w="7608" w:type="dxa"/>
            <w:gridSpan w:val="4"/>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科目编码</w:t>
            </w:r>
          </w:p>
        </w:tc>
        <w:tc>
          <w:tcPr>
            <w:tcW w:w="919"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部门（单位）代码</w:t>
            </w:r>
          </w:p>
        </w:tc>
        <w:tc>
          <w:tcPr>
            <w:tcW w:w="2717"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1704"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7608" w:type="dxa"/>
            <w:gridSpan w:val="4"/>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本年一般公共预算支出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91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27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1704" w:type="dxa"/>
            <w:vMerge w:val="continue"/>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6049" w:type="dxa"/>
            <w:gridSpan w:val="3"/>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基本支出</w:t>
            </w:r>
          </w:p>
        </w:tc>
        <w:tc>
          <w:tcPr>
            <w:tcW w:w="1559" w:type="dxa"/>
            <w:vMerge w:val="restart"/>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p>
        </w:tc>
        <w:tc>
          <w:tcPr>
            <w:tcW w:w="919"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p>
        </w:tc>
        <w:tc>
          <w:tcPr>
            <w:tcW w:w="2717"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p>
        </w:tc>
        <w:tc>
          <w:tcPr>
            <w:tcW w:w="1704" w:type="dxa"/>
            <w:vMerge w:val="continue"/>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p>
        </w:tc>
        <w:tc>
          <w:tcPr>
            <w:tcW w:w="2080"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2126"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1843"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公用经费</w:t>
            </w:r>
          </w:p>
        </w:tc>
        <w:tc>
          <w:tcPr>
            <w:tcW w:w="1559" w:type="dxa"/>
            <w:vMerge w:val="continue"/>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170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1</w:t>
            </w:r>
          </w:p>
        </w:tc>
        <w:tc>
          <w:tcPr>
            <w:tcW w:w="20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sz w:val="18"/>
                <w:szCs w:val="18"/>
              </w:rPr>
              <w:t>2</w:t>
            </w:r>
          </w:p>
        </w:tc>
        <w:tc>
          <w:tcPr>
            <w:tcW w:w="212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sz w:val="18"/>
                <w:szCs w:val="18"/>
              </w:rPr>
              <w:t>3</w:t>
            </w:r>
          </w:p>
        </w:tc>
        <w:tc>
          <w:tcPr>
            <w:tcW w:w="18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ascii="宋体" w:hAnsi="宋体"/>
                <w:color w:val="000000"/>
                <w:sz w:val="18"/>
                <w:szCs w:val="18"/>
              </w:rPr>
            </w:pPr>
            <w:r>
              <w:rPr>
                <w:rFonts w:hint="eastAsia" w:ascii="宋体" w:hAnsi="宋体"/>
                <w:color w:val="000000"/>
                <w:sz w:val="18"/>
                <w:szCs w:val="18"/>
              </w:rPr>
              <w:t>4</w:t>
            </w:r>
          </w:p>
        </w:tc>
        <w:tc>
          <w:tcPr>
            <w:tcW w:w="155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155.09</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144.09</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11.00</w:t>
            </w: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126</w:t>
            </w: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中共百色市委员会百色市人民政府信访局</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155.09</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144.09</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11.00</w:t>
            </w: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126002</w:t>
            </w: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155.09</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144.09</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11.00</w:t>
            </w: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03</w:t>
            </w: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50</w:t>
            </w: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事业运行</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106.22</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106.22</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95.22</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11.00</w:t>
            </w: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05</w:t>
            </w: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机关事业单位基本养老保险缴费支出</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21.13</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21.13</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21.13</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06</w:t>
            </w: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机关事业单位职业年金缴费支出</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10.56</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10.56</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10.56</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02</w:t>
            </w: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事业单位医疗</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4.79</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4.79</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4.79</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221</w:t>
            </w:r>
          </w:p>
        </w:tc>
        <w:tc>
          <w:tcPr>
            <w:tcW w:w="4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02</w:t>
            </w:r>
          </w:p>
        </w:tc>
        <w:tc>
          <w:tcPr>
            <w:tcW w:w="4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r>
              <w:rPr>
                <w:rFonts w:hint="eastAsia" w:ascii="宋体" w:hAnsi="宋体"/>
                <w:color w:val="000000"/>
                <w:kern w:val="0"/>
                <w:sz w:val="18"/>
                <w:szCs w:val="18"/>
              </w:rPr>
              <w:t>住房公积金</w:t>
            </w:r>
          </w:p>
        </w:tc>
        <w:tc>
          <w:tcPr>
            <w:tcW w:w="170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sz w:val="18"/>
                <w:szCs w:val="18"/>
              </w:rPr>
              <w:t>12.39</w:t>
            </w:r>
          </w:p>
        </w:tc>
        <w:tc>
          <w:tcPr>
            <w:tcW w:w="2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12.39</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12.39</w:t>
            </w:r>
          </w:p>
        </w:tc>
        <w:tc>
          <w:tcPr>
            <w:tcW w:w="1843"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49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4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91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271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kern w:val="0"/>
                <w:sz w:val="18"/>
                <w:szCs w:val="18"/>
              </w:rPr>
            </w:pPr>
          </w:p>
        </w:tc>
        <w:tc>
          <w:tcPr>
            <w:tcW w:w="170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kern w:val="0"/>
                <w:sz w:val="18"/>
                <w:szCs w:val="18"/>
              </w:rPr>
            </w:pPr>
          </w:p>
        </w:tc>
        <w:tc>
          <w:tcPr>
            <w:tcW w:w="20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212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843"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559"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p>
        </w:tc>
      </w:tr>
      <w:bookmarkEnd w:id="21"/>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pPr>
      <w:bookmarkStart w:id="23" w:name="PO_part2Table6"/>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31"/>
        <w:gridCol w:w="3061"/>
        <w:gridCol w:w="3061"/>
        <w:gridCol w:w="1020"/>
        <w:gridCol w:w="2042"/>
        <w:gridCol w:w="3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rPr>
            </w:pPr>
            <w:r>
              <w:rPr>
                <w:rFonts w:hint="eastAsia" w:ascii="宋体" w:hAnsi="宋体"/>
                <w:color w:val="000000"/>
                <w:kern w:val="0"/>
                <w:sz w:val="18"/>
                <w:szCs w:val="18"/>
                <w:lang w:val="en-US" w:eastAsia="zh-CN"/>
              </w:rPr>
              <w:t>预算公开06</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rPr>
            </w:pPr>
            <w:r>
              <w:rPr>
                <w:rFonts w:hint="eastAsia" w:ascii="宋体" w:hAnsi="宋体"/>
                <w:b/>
                <w:bCs/>
                <w:color w:val="000000"/>
                <w:kern w:val="0"/>
                <w:sz w:val="26"/>
                <w:szCs w:val="26"/>
              </w:rPr>
              <w:t>一般公共预算基本支出情况表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203" w:type="dxa"/>
            <w:gridSpan w:val="5"/>
            <w:tcBorders>
              <w:top w:val="nil"/>
              <w:left w:val="nil"/>
              <w:bottom w:val="single" w:color="000000" w:sz="8"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rPr>
            </w:pPr>
            <w:r>
              <w:rPr>
                <w:rFonts w:hint="eastAsia" w:ascii="宋体" w:hAnsi="宋体"/>
                <w:color w:val="000000"/>
                <w:kern w:val="0"/>
                <w:sz w:val="18"/>
                <w:szCs w:val="18"/>
              </w:rPr>
              <w:t>单位名称：</w:t>
            </w:r>
            <w:bookmarkStart w:id="24" w:name="PO_part2Table1DivName6"/>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4"/>
          </w:p>
        </w:tc>
        <w:tc>
          <w:tcPr>
            <w:tcW w:w="5104" w:type="dxa"/>
            <w:gridSpan w:val="2"/>
            <w:tcBorders>
              <w:top w:val="nil"/>
              <w:left w:val="nil"/>
              <w:bottom w:val="single" w:color="000000" w:sz="8"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6122" w:type="dxa"/>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部门预算支出经济分类科目</w:t>
            </w:r>
          </w:p>
        </w:tc>
        <w:tc>
          <w:tcPr>
            <w:tcW w:w="9185" w:type="dxa"/>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本年一般公共预算基本支出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blHeader/>
        </w:trPr>
        <w:tc>
          <w:tcPr>
            <w:tcW w:w="1530"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类</w:t>
            </w:r>
          </w:p>
        </w:tc>
        <w:tc>
          <w:tcPr>
            <w:tcW w:w="1531"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款</w:t>
            </w:r>
          </w:p>
        </w:tc>
        <w:tc>
          <w:tcPr>
            <w:tcW w:w="3061"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科目名称</w:t>
            </w:r>
          </w:p>
        </w:tc>
        <w:tc>
          <w:tcPr>
            <w:tcW w:w="3061"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3062" w:type="dxa"/>
            <w:gridSpan w:val="2"/>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blHeader/>
        </w:trPr>
        <w:tc>
          <w:tcPr>
            <w:tcW w:w="1530"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1531"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3062" w:type="dxa"/>
            <w:gridSpan w:val="2"/>
            <w:tcBorders>
              <w:top w:val="single" w:color="000000" w:sz="8" w:space="0"/>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合计</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155.09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144.09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工资福利支出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144.09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144.09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基本工资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35.42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35.42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02</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津贴补贴</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4.76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4.76</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绩效工资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54.38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54.38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08</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机关事业单位基本养老保险缴费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21.13</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21.13</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09</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职业年金缴费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10.56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10.56</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10</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职工基本医疗保险缴费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4.66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4.66</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12</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其他社会保障缴费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0.79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0.79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13</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住房公积金</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12.39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12.39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11.00</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办公费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4.40</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11</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差旅费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1.50</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29</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福利费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0.74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textAlignment w:val="center"/>
              <w:rPr>
                <w:rFonts w:hint="eastAsia" w:ascii="宋体" w:hAnsi="宋体"/>
                <w:color w:val="000000"/>
                <w:sz w:val="18"/>
                <w:szCs w:val="18"/>
              </w:rPr>
            </w:pPr>
            <w:r>
              <w:rPr>
                <w:rFonts w:hint="eastAsia" w:ascii="宋体" w:hAnsi="宋体"/>
                <w:color w:val="000000"/>
                <w:sz w:val="18"/>
                <w:szCs w:val="18"/>
              </w:rPr>
              <w:t>99</w:t>
            </w:r>
          </w:p>
        </w:tc>
        <w:tc>
          <w:tcPr>
            <w:tcW w:w="3061" w:type="dxa"/>
            <w:tcBorders>
              <w:left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kern w:val="0"/>
                <w:sz w:val="18"/>
                <w:szCs w:val="18"/>
              </w:rPr>
              <w:t>其他商品和服务支出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4.36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r>
              <w:rPr>
                <w:rFonts w:hint="eastAsia" w:ascii="宋体" w:hAnsi="宋体"/>
                <w:color w:val="000000"/>
                <w:sz w:val="18"/>
                <w:szCs w:val="18"/>
              </w:rPr>
              <w:t>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sz w:val="18"/>
                <w:szCs w:val="18"/>
              </w:rPr>
            </w:pPr>
          </w:p>
        </w:tc>
        <w:tc>
          <w:tcPr>
            <w:tcW w:w="1531"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sz w:val="18"/>
                <w:szCs w:val="18"/>
              </w:rPr>
            </w:pPr>
          </w:p>
        </w:tc>
        <w:tc>
          <w:tcPr>
            <w:tcW w:w="3061" w:type="dxa"/>
            <w:tcBorders>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sz w:val="18"/>
                <w:szCs w:val="18"/>
              </w:rPr>
            </w:pPr>
          </w:p>
        </w:tc>
      </w:tr>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bookmarkEnd w:id="23"/>
      <w:r>
        <w:rPr>
          <w:rFonts w:hint="eastAsia" w:ascii="宋体" w:hAnsi="宋体" w:cs="宋体"/>
          <w:color w:val="000000"/>
          <w:kern w:val="0"/>
          <w:sz w:val="18"/>
          <w:szCs w:val="18"/>
          <w:lang w:bidi="ar"/>
        </w:rPr>
        <w:t xml:space="preserve">  </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pPr>
      <w:bookmarkStart w:id="25" w:name="PO_part2Table7"/>
    </w:p>
    <w:tbl>
      <w:tblPr>
        <w:tblStyle w:val="11"/>
        <w:tblW w:w="15030"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2265"/>
        <w:gridCol w:w="1725"/>
        <w:gridCol w:w="1095"/>
        <w:gridCol w:w="1080"/>
        <w:gridCol w:w="855"/>
        <w:gridCol w:w="765"/>
        <w:gridCol w:w="1260"/>
        <w:gridCol w:w="1005"/>
        <w:gridCol w:w="795"/>
        <w:gridCol w:w="675"/>
        <w:gridCol w:w="750"/>
        <w:gridCol w:w="885"/>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70" w:type="dxa"/>
            <w:gridSpan w:val="2"/>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p>
        </w:tc>
        <w:tc>
          <w:tcPr>
            <w:tcW w:w="11760" w:type="dxa"/>
            <w:gridSpan w:val="12"/>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预算公开07</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030" w:type="dxa"/>
            <w:gridSpan w:val="14"/>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rPr>
              <w:t>财政拨款“三公”经费、会议费和培训费支出情况表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95" w:type="dxa"/>
            <w:gridSpan w:val="3"/>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rPr>
            </w:pPr>
            <w:r>
              <w:rPr>
                <w:rFonts w:hint="eastAsia" w:ascii="宋体" w:hAnsi="宋体"/>
                <w:color w:val="000000"/>
                <w:kern w:val="0"/>
                <w:sz w:val="18"/>
                <w:szCs w:val="18"/>
              </w:rPr>
              <w:t>单位名称：</w:t>
            </w:r>
            <w:bookmarkStart w:id="26" w:name="PO_part2Table1DivName7"/>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6"/>
          </w:p>
        </w:tc>
        <w:tc>
          <w:tcPr>
            <w:tcW w:w="10035" w:type="dxa"/>
            <w:gridSpan w:val="11"/>
            <w:tcBorders>
              <w:top w:val="nil"/>
              <w:left w:val="nil"/>
              <w:bottom w:val="single" w:color="auto" w:sz="4"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部门（单位）代码</w:t>
            </w:r>
          </w:p>
        </w:tc>
        <w:tc>
          <w:tcPr>
            <w:tcW w:w="2265"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部门（单位）名称</w:t>
            </w:r>
          </w:p>
        </w:tc>
        <w:tc>
          <w:tcPr>
            <w:tcW w:w="1725"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r>
              <w:rPr>
                <w:rFonts w:hint="eastAsia" w:ascii="宋体" w:hAnsi="宋体"/>
                <w:color w:val="000000"/>
                <w:sz w:val="18"/>
                <w:szCs w:val="18"/>
              </w:rPr>
              <w:t>资金性质</w:t>
            </w:r>
          </w:p>
        </w:tc>
        <w:tc>
          <w:tcPr>
            <w:tcW w:w="1095"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总计</w:t>
            </w:r>
          </w:p>
        </w:tc>
        <w:tc>
          <w:tcPr>
            <w:tcW w:w="5760" w:type="dxa"/>
            <w:gridSpan w:val="6"/>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“三公”经费</w:t>
            </w:r>
          </w:p>
        </w:tc>
        <w:tc>
          <w:tcPr>
            <w:tcW w:w="675"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会议费</w:t>
            </w:r>
          </w:p>
        </w:tc>
        <w:tc>
          <w:tcPr>
            <w:tcW w:w="2505" w:type="dxa"/>
            <w:gridSpan w:val="3"/>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26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72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09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1080"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合计</w:t>
            </w:r>
          </w:p>
        </w:tc>
        <w:tc>
          <w:tcPr>
            <w:tcW w:w="855"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因公出国（境）费</w:t>
            </w:r>
          </w:p>
        </w:tc>
        <w:tc>
          <w:tcPr>
            <w:tcW w:w="3030" w:type="dxa"/>
            <w:gridSpan w:val="3"/>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公务用车购置及运行维护费</w:t>
            </w:r>
          </w:p>
        </w:tc>
        <w:tc>
          <w:tcPr>
            <w:tcW w:w="795"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ascii="宋体" w:hAnsi="宋体"/>
                <w:color w:val="000000"/>
                <w:sz w:val="18"/>
                <w:szCs w:val="18"/>
              </w:rPr>
            </w:pPr>
            <w:r>
              <w:rPr>
                <w:rFonts w:hint="eastAsia" w:ascii="宋体" w:hAnsi="宋体"/>
                <w:color w:val="000000"/>
                <w:sz w:val="18"/>
                <w:szCs w:val="18"/>
              </w:rPr>
              <w:t>公务接待费</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750"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885"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本级资金安排</w:t>
            </w:r>
          </w:p>
        </w:tc>
        <w:tc>
          <w:tcPr>
            <w:tcW w:w="870"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r>
              <w:rPr>
                <w:rFonts w:hint="eastAsia" w:ascii="宋体" w:hAnsi="宋体"/>
                <w:color w:val="000000"/>
                <w:sz w:val="18"/>
                <w:szCs w:val="18"/>
              </w:rPr>
              <w:t>上级补助资金安排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26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72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09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108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85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765"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小计</w:t>
            </w:r>
          </w:p>
        </w:tc>
        <w:tc>
          <w:tcPr>
            <w:tcW w:w="126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公务用车运行维护费</w:t>
            </w:r>
          </w:p>
        </w:tc>
        <w:tc>
          <w:tcPr>
            <w:tcW w:w="1005"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公务用车购置费</w:t>
            </w:r>
          </w:p>
        </w:tc>
        <w:tc>
          <w:tcPr>
            <w:tcW w:w="79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75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88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c>
          <w:tcPr>
            <w:tcW w:w="87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26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725"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09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108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2</w:t>
            </w:r>
          </w:p>
        </w:tc>
        <w:tc>
          <w:tcPr>
            <w:tcW w:w="85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3</w:t>
            </w:r>
          </w:p>
        </w:tc>
        <w:tc>
          <w:tcPr>
            <w:tcW w:w="765"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4</w:t>
            </w:r>
          </w:p>
        </w:tc>
        <w:tc>
          <w:tcPr>
            <w:tcW w:w="126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5</w:t>
            </w:r>
          </w:p>
        </w:tc>
        <w:tc>
          <w:tcPr>
            <w:tcW w:w="1005"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6</w:t>
            </w:r>
          </w:p>
        </w:tc>
        <w:tc>
          <w:tcPr>
            <w:tcW w:w="79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5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9</w:t>
            </w:r>
          </w:p>
        </w:tc>
        <w:tc>
          <w:tcPr>
            <w:tcW w:w="885"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c>
          <w:tcPr>
            <w:tcW w:w="870" w:type="dxa"/>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textAlignment w:val="center"/>
              <w:rPr>
                <w:rFonts w:hint="eastAsia" w:ascii="宋体" w:hAns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2265"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72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left"/>
              <w:textAlignment w:val="center"/>
              <w:rPr>
                <w:rFonts w:hint="eastAsia" w:ascii="宋体" w:hAnsi="宋体"/>
                <w:color w:val="000000"/>
                <w:sz w:val="18"/>
                <w:szCs w:val="18"/>
              </w:rPr>
            </w:pPr>
          </w:p>
        </w:tc>
        <w:tc>
          <w:tcPr>
            <w:tcW w:w="10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85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100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79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67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75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c>
          <w:tcPr>
            <w:tcW w:w="87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360" w:firstLineChars="200"/>
              <w:jc w:val="right"/>
              <w:textAlignment w:val="center"/>
              <w:rPr>
                <w:rFonts w:hint="eastAsia" w:ascii="宋体" w:hAnsi="宋体"/>
                <w:color w:val="000000"/>
                <w:sz w:val="18"/>
                <w:szCs w:val="18"/>
              </w:rPr>
            </w:pPr>
          </w:p>
        </w:tc>
      </w:tr>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27" w:name="PO_part2Table1Remark7"/>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报表金额单位转换时可能存在四舍五入尾数误差。</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2024</w:t>
      </w:r>
      <w:r>
        <w:rPr>
          <w:rFonts w:hint="eastAsia" w:ascii="宋体" w:hAnsi="宋体"/>
          <w:color w:val="000000"/>
          <w:kern w:val="0"/>
          <w:sz w:val="18"/>
          <w:szCs w:val="18"/>
        </w:rPr>
        <w:t>年度没有一般公共预算“三公”经费</w:t>
      </w:r>
      <w:r>
        <w:rPr>
          <w:rFonts w:hint="eastAsia" w:ascii="宋体" w:hAnsi="宋体"/>
          <w:color w:val="000000"/>
          <w:kern w:val="0"/>
          <w:sz w:val="18"/>
          <w:szCs w:val="18"/>
          <w:lang w:val="en-US" w:eastAsia="zh-CN"/>
        </w:rPr>
        <w:t>预算支出</w:t>
      </w:r>
      <w:r>
        <w:rPr>
          <w:rFonts w:hint="eastAsia" w:ascii="宋体" w:hAnsi="宋体"/>
          <w:color w:val="000000"/>
          <w:kern w:val="0"/>
          <w:sz w:val="18"/>
          <w:szCs w:val="18"/>
        </w:rPr>
        <w:t>，故本表无数据。</w:t>
      </w:r>
      <w:bookmarkEnd w:id="25"/>
      <w:bookmarkEnd w:id="27"/>
      <w:r>
        <w:rPr>
          <w:rFonts w:hint="eastAsia" w:ascii="宋体" w:hAnsi="宋体"/>
          <w:color w:val="000000"/>
          <w:kern w:val="0"/>
          <w:sz w:val="18"/>
          <w:szCs w:val="18"/>
        </w:rPr>
        <w:t xml:space="preserve">  </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firstLine="420" w:firstLineChars="200"/>
        <w:rPr>
          <w:rFonts w:hint="eastAsia"/>
        </w:rPr>
      </w:pPr>
      <w:bookmarkStart w:id="28" w:name="PO_part2Table8"/>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预算公开08</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rPr>
              <w:t>政府性基金预算支出情况表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rPr>
            </w:pPr>
            <w:r>
              <w:rPr>
                <w:rFonts w:hint="eastAsia" w:ascii="宋体" w:hAnsi="宋体"/>
                <w:color w:val="000000"/>
                <w:kern w:val="0"/>
                <w:sz w:val="18"/>
                <w:szCs w:val="18"/>
              </w:rPr>
              <w:t>单位名称：</w:t>
            </w:r>
            <w:bookmarkStart w:id="29" w:name="PO_part2Table1DivName8"/>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9"/>
          </w:p>
        </w:tc>
        <w:tc>
          <w:tcPr>
            <w:tcW w:w="3057" w:type="dxa"/>
            <w:gridSpan w:val="2"/>
            <w:tcBorders>
              <w:top w:val="nil"/>
              <w:left w:val="nil"/>
              <w:bottom w:val="single" w:color="000000" w:sz="8"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部门（单位）名称</w:t>
            </w:r>
          </w:p>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本年政府性基金预算支出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400" w:firstLineChars="200"/>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right"/>
              <w:textAlignment w:val="center"/>
              <w:rPr>
                <w:rFonts w:hint="eastAsia" w:ascii="宋体" w:hAnsi="宋体" w:cs="宋体"/>
                <w:color w:val="000000"/>
                <w:kern w:val="0"/>
                <w:sz w:val="20"/>
                <w:szCs w:val="20"/>
                <w:lang w:bidi="ar"/>
              </w:rPr>
            </w:pPr>
          </w:p>
        </w:tc>
      </w:tr>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30" w:name="PO_part2Table1Remark8"/>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本报表金额单位转换时可能存在四舍五入尾数误差。</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2024</w:t>
      </w:r>
      <w:r>
        <w:rPr>
          <w:rFonts w:hint="eastAsia" w:ascii="宋体" w:hAnsi="宋体"/>
          <w:color w:val="000000"/>
          <w:kern w:val="0"/>
          <w:sz w:val="18"/>
          <w:szCs w:val="18"/>
        </w:rPr>
        <w:t>年度没有政府性基金预算支出，故本表无数据。</w:t>
      </w:r>
      <w:r>
        <w:rPr>
          <w:rFonts w:hint="eastAsia" w:ascii="宋体" w:hAnsi="宋体" w:cs="宋体"/>
          <w:color w:val="000000"/>
          <w:kern w:val="0"/>
          <w:sz w:val="18"/>
          <w:szCs w:val="18"/>
          <w:lang w:bidi="ar"/>
        </w:rPr>
        <w:t xml:space="preserve"> </w:t>
      </w:r>
      <w:bookmarkEnd w:id="28"/>
      <w:bookmarkEnd w:id="30"/>
      <w:r>
        <w:rPr>
          <w:rFonts w:hint="eastAsia" w:ascii="宋体" w:hAnsi="宋体" w:cs="宋体"/>
          <w:color w:val="000000"/>
          <w:kern w:val="0"/>
          <w:sz w:val="18"/>
          <w:szCs w:val="18"/>
          <w:lang w:bidi="ar"/>
        </w:rPr>
        <w:t xml:space="preserve">  </w:t>
      </w:r>
      <w:r>
        <w:rPr>
          <w:rFonts w:ascii="宋体" w:hAnsi="宋体" w:cs="宋体"/>
          <w:color w:val="000000"/>
          <w:kern w:val="0"/>
          <w:sz w:val="18"/>
          <w:szCs w:val="18"/>
          <w:lang w:bidi="ar"/>
        </w:rPr>
        <w:br w:type="page"/>
      </w:r>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预算公开09</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rPr>
              <w:t>国有资本经营预算支出情况表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left"/>
              <w:rPr>
                <w:rFonts w:hint="eastAsia"/>
              </w:rPr>
            </w:pPr>
            <w:r>
              <w:rPr>
                <w:rFonts w:hint="eastAsia" w:ascii="宋体" w:hAnsi="宋体"/>
                <w:color w:val="000000"/>
                <w:kern w:val="0"/>
                <w:sz w:val="18"/>
                <w:szCs w:val="18"/>
              </w:rPr>
              <w:t xml:space="preserve">单位名称：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p>
        </w:tc>
        <w:tc>
          <w:tcPr>
            <w:tcW w:w="3057" w:type="dxa"/>
            <w:gridSpan w:val="2"/>
            <w:tcBorders>
              <w:top w:val="nil"/>
              <w:left w:val="nil"/>
              <w:bottom w:val="single" w:color="000000" w:sz="8" w:space="0"/>
              <w:right w:val="nil"/>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部门（单位）名称</w:t>
            </w:r>
          </w:p>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本年国有资本经营预算支出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400" w:firstLineChars="200"/>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firstLine="400" w:firstLineChars="200"/>
              <w:jc w:val="right"/>
              <w:textAlignment w:val="center"/>
              <w:rPr>
                <w:rFonts w:hint="eastAsia" w:ascii="宋体" w:hAnsi="宋体" w:cs="宋体"/>
                <w:color w:val="000000"/>
                <w:kern w:val="0"/>
                <w:sz w:val="20"/>
                <w:szCs w:val="20"/>
                <w:lang w:bidi="ar"/>
              </w:rPr>
            </w:pPr>
          </w:p>
        </w:tc>
      </w:tr>
    </w:tbl>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 xml:space="preserve">注： </w:t>
      </w:r>
      <w:r>
        <w:rPr>
          <w:rFonts w:hint="eastAsia" w:ascii="宋体" w:hAnsi="宋体"/>
          <w:color w:val="000000"/>
          <w:kern w:val="0"/>
          <w:sz w:val="18"/>
          <w:szCs w:val="18"/>
        </w:rPr>
        <w:t>本报表金额单位转换时可能存在四舍五入尾数误差。</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ascii="宋体" w:hAnsi="宋体" w:cs="宋体"/>
          <w:color w:val="000000"/>
          <w:kern w:val="0"/>
          <w:sz w:val="18"/>
          <w:szCs w:val="18"/>
          <w:lang w:bidi="ar"/>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2024</w:t>
      </w:r>
      <w:r>
        <w:rPr>
          <w:rFonts w:hint="eastAsia" w:ascii="宋体" w:hAnsi="宋体"/>
          <w:color w:val="000000"/>
          <w:kern w:val="0"/>
          <w:sz w:val="18"/>
          <w:szCs w:val="18"/>
        </w:rPr>
        <w:t>年度没有国有资本经营预算支出，故本表无数据。</w:t>
      </w:r>
      <w:r>
        <w:rPr>
          <w:rFonts w:hint="eastAsia" w:ascii="宋体" w:hAnsi="宋体" w:cs="宋体"/>
          <w:color w:val="000000"/>
          <w:kern w:val="0"/>
          <w:sz w:val="18"/>
          <w:szCs w:val="18"/>
          <w:lang w:bidi="ar"/>
        </w:rPr>
        <w:t xml:space="preserve">    </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r>
        <w:rPr>
          <w:rFonts w:hint="eastAsia" w:ascii="宋体" w:hAnsi="宋体" w:cs="宋体"/>
          <w:color w:val="000000"/>
          <w:kern w:val="0"/>
          <w:sz w:val="18"/>
          <w:szCs w:val="18"/>
          <w:lang w:bidi="ar"/>
        </w:rPr>
        <w:t xml:space="preserve"> </w:t>
      </w:r>
    </w:p>
    <w:p>
      <w:pPr>
        <w:keepNext w:val="0"/>
        <w:keepLines w:val="0"/>
        <w:pageBreakBefore w:val="0"/>
        <w:kinsoku/>
        <w:wordWrap/>
        <w:overflowPunct/>
        <w:topLinePunct w:val="0"/>
        <w:autoSpaceDE/>
        <w:autoSpaceDN/>
        <w:bidi w:val="0"/>
        <w:adjustRightInd/>
        <w:snapToGrid/>
        <w:spacing w:line="560" w:lineRule="exact"/>
        <w:ind w:left="0" w:firstLine="360" w:firstLineChars="200"/>
        <w:rPr>
          <w:rFonts w:hint="eastAsia" w:ascii="宋体" w:hAnsi="宋体" w:cs="宋体"/>
          <w:color w:val="000000"/>
          <w:kern w:val="0"/>
          <w:sz w:val="18"/>
          <w:szCs w:val="18"/>
          <w:lang w:bidi="ar"/>
        </w:rPr>
      </w:pPr>
    </w:p>
    <w:p>
      <w:pPr>
        <w:keepNext w:val="0"/>
        <w:keepLines w:val="0"/>
        <w:pageBreakBefore w:val="0"/>
        <w:widowControl w:val="0"/>
        <w:numPr>
          <w:ilvl w:val="0"/>
          <w:numId w:val="1"/>
        </w:numPr>
        <w:tabs>
          <w:tab w:val="center" w:pos="6979"/>
        </w:tabs>
        <w:kinsoku/>
        <w:wordWrap/>
        <w:overflowPunct/>
        <w:topLinePunct w:val="0"/>
        <w:autoSpaceDE/>
        <w:autoSpaceDN/>
        <w:bidi w:val="0"/>
        <w:adjustRightInd/>
        <w:snapToGrid/>
        <w:spacing w:line="560" w:lineRule="exact"/>
        <w:ind w:left="0" w:firstLine="0" w:firstLineChars="0"/>
        <w:jc w:val="center"/>
        <w:textAlignment w:val="auto"/>
        <w:outlineLvl w:val="0"/>
        <w:rPr>
          <w:rFonts w:ascii="黑体" w:hAnsi="黑体" w:eastAsia="黑体" w:cs="方正小标宋简体"/>
          <w:sz w:val="44"/>
          <w:szCs w:val="44"/>
        </w:rPr>
      </w:pPr>
      <w:r>
        <w:rPr>
          <w:rFonts w:hint="eastAsia" w:ascii="黑体" w:hAnsi="黑体" w:eastAsia="黑体" w:cs="方正小标宋简体"/>
          <w:sz w:val="44"/>
          <w:szCs w:val="44"/>
        </w:rPr>
        <w:t xml:space="preserve"> </w:t>
      </w:r>
      <w:bookmarkStart w:id="31" w:name="PO_part3Year1"/>
      <w:r>
        <w:rPr>
          <w:rFonts w:hint="eastAsia" w:ascii="黑体" w:hAnsi="黑体" w:eastAsia="黑体" w:cs="方正小标宋简体"/>
          <w:sz w:val="44"/>
          <w:szCs w:val="44"/>
          <w:lang w:val="en-US" w:eastAsia="zh-CN"/>
        </w:rPr>
        <w:t xml:space="preserve">百色市群众工作服务中心 </w:t>
      </w:r>
      <w:bookmarkEnd w:id="31"/>
    </w:p>
    <w:p>
      <w:pPr>
        <w:keepNext w:val="0"/>
        <w:keepLines w:val="0"/>
        <w:pageBreakBefore w:val="0"/>
        <w:widowControl w:val="0"/>
        <w:numPr>
          <w:numId w:val="0"/>
        </w:numPr>
        <w:tabs>
          <w:tab w:val="center" w:pos="6979"/>
        </w:tabs>
        <w:kinsoku/>
        <w:wordWrap/>
        <w:overflowPunct/>
        <w:topLinePunct w:val="0"/>
        <w:autoSpaceDE/>
        <w:autoSpaceDN/>
        <w:bidi w:val="0"/>
        <w:adjustRightInd/>
        <w:snapToGrid/>
        <w:spacing w:line="560" w:lineRule="exact"/>
        <w:ind w:leftChars="0"/>
        <w:jc w:val="center"/>
        <w:textAlignment w:val="auto"/>
        <w:outlineLvl w:val="0"/>
        <w:rPr>
          <w:rFonts w:ascii="黑体" w:hAnsi="黑体" w:eastAsia="黑体" w:cs="方正小标宋简体"/>
          <w:sz w:val="44"/>
          <w:szCs w:val="44"/>
        </w:rPr>
      </w:pPr>
      <w:r>
        <w:rPr>
          <w:rFonts w:hint="eastAsia" w:ascii="黑体" w:hAnsi="黑体" w:eastAsia="黑体" w:cs="方正小标宋简体"/>
          <w:sz w:val="44"/>
          <w:szCs w:val="44"/>
          <w:lang w:val="en-US" w:eastAsia="zh-CN"/>
        </w:rPr>
        <w:t>2024</w:t>
      </w:r>
      <w:r>
        <w:rPr>
          <w:rFonts w:hint="eastAsia" w:ascii="黑体" w:hAnsi="黑体" w:eastAsia="黑体" w:cs="方正小标宋简体"/>
          <w:sz w:val="44"/>
          <w:szCs w:val="44"/>
        </w:rPr>
        <w:t>年部门预算情况说明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部门预算收支总体情况说明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2024</w:t>
      </w:r>
      <w:r>
        <w:rPr>
          <w:rFonts w:hint="eastAsia" w:ascii="方正仿宋_GB2312" w:hAnsi="方正仿宋_GB2312" w:eastAsia="方正仿宋_GB2312" w:cs="方正仿宋_GB2312"/>
          <w:sz w:val="32"/>
          <w:szCs w:val="32"/>
        </w:rPr>
        <w:t>年本部门</w:t>
      </w:r>
      <w:r>
        <w:rPr>
          <w:rFonts w:hint="eastAsia" w:ascii="方正仿宋_GB2312" w:hAnsi="方正仿宋_GB2312" w:eastAsia="方正仿宋_GB2312" w:cs="方正仿宋_GB2312"/>
          <w:sz w:val="32"/>
          <w:szCs w:val="32"/>
          <w:lang w:val="en-US" w:eastAsia="zh-CN"/>
        </w:rPr>
        <w:t>总</w:t>
      </w:r>
      <w:r>
        <w:rPr>
          <w:rFonts w:hint="eastAsia" w:ascii="方正仿宋_GB2312" w:hAnsi="方正仿宋_GB2312" w:eastAsia="方正仿宋_GB2312" w:cs="方正仿宋_GB2312"/>
          <w:sz w:val="32"/>
          <w:szCs w:val="32"/>
        </w:rPr>
        <w:t>收入155.09万元，</w:t>
      </w:r>
      <w:bookmarkStart w:id="32" w:name="PO_part3A1IncAmount1"/>
      <w:r>
        <w:rPr>
          <w:rFonts w:hint="eastAsia" w:ascii="方正仿宋_GB2312" w:hAnsi="方正仿宋_GB2312" w:eastAsia="方正仿宋_GB2312" w:cs="方正仿宋_GB2312"/>
          <w:sz w:val="32"/>
          <w:szCs w:val="32"/>
        </w:rPr>
        <w:t>比上年增加</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59.43万元，增长</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62.13%， </w:t>
      </w:r>
      <w:bookmarkEnd w:id="32"/>
      <w:r>
        <w:rPr>
          <w:rFonts w:hint="eastAsia" w:ascii="方正仿宋_GB2312" w:hAnsi="方正仿宋_GB2312" w:eastAsia="方正仿宋_GB2312" w:cs="方正仿宋_GB2312"/>
          <w:sz w:val="32"/>
          <w:szCs w:val="32"/>
        </w:rPr>
        <w:t>主要原因是：</w:t>
      </w:r>
      <w:bookmarkStart w:id="33" w:name="PO_part3A1IncReason1"/>
      <w:r>
        <w:rPr>
          <w:rFonts w:hint="eastAsia" w:ascii="方正仿宋_GB2312" w:hAnsi="方正仿宋_GB2312" w:eastAsia="方正仿宋_GB2312" w:cs="方正仿宋_GB2312"/>
          <w:sz w:val="32"/>
          <w:szCs w:val="32"/>
        </w:rPr>
        <w:t>中心人员晋级晋档和政策性增支、</w:t>
      </w:r>
      <w:r>
        <w:rPr>
          <w:rFonts w:hint="eastAsia" w:ascii="方正仿宋_GB2312" w:hAnsi="方正仿宋_GB2312" w:eastAsia="方正仿宋_GB2312" w:cs="方正仿宋_GB2312"/>
          <w:sz w:val="32"/>
          <w:szCs w:val="32"/>
          <w:lang w:val="en-US" w:eastAsia="zh-CN"/>
        </w:rPr>
        <w:t>及</w:t>
      </w:r>
      <w:r>
        <w:rPr>
          <w:rFonts w:hint="eastAsia" w:ascii="方正仿宋_GB2312" w:hAnsi="方正仿宋_GB2312" w:eastAsia="方正仿宋_GB2312" w:cs="方正仿宋_GB2312"/>
          <w:sz w:val="32"/>
          <w:szCs w:val="32"/>
        </w:rPr>
        <w:t>2023年新公开招聘人员1名而相应增加的人员经费和业务经费收入；</w:t>
      </w:r>
      <w:bookmarkEnd w:id="33"/>
      <w:r>
        <w:rPr>
          <w:rFonts w:hint="eastAsia" w:ascii="方正仿宋_GB2312" w:hAnsi="方正仿宋_GB2312" w:eastAsia="方正仿宋_GB2312" w:cs="方正仿宋_GB2312"/>
          <w:sz w:val="32"/>
          <w:szCs w:val="32"/>
          <w:lang w:val="en-US" w:eastAsia="zh-CN"/>
        </w:rPr>
        <w:t>总支</w:t>
      </w:r>
      <w:r>
        <w:rPr>
          <w:rFonts w:hint="eastAsia" w:ascii="方正仿宋_GB2312" w:hAnsi="方正仿宋_GB2312" w:eastAsia="方正仿宋_GB2312" w:cs="方正仿宋_GB2312"/>
          <w:sz w:val="32"/>
          <w:szCs w:val="32"/>
        </w:rPr>
        <w:t>出</w:t>
      </w:r>
      <w:bookmarkStart w:id="34" w:name="PO_part3A1Amount2"/>
      <w:r>
        <w:rPr>
          <w:rFonts w:hint="eastAsia" w:ascii="方正仿宋_GB2312" w:hAnsi="方正仿宋_GB2312" w:eastAsia="方正仿宋_GB2312" w:cs="方正仿宋_GB2312"/>
          <w:sz w:val="32"/>
          <w:szCs w:val="32"/>
        </w:rPr>
        <w:t xml:space="preserve">155.09 </w:t>
      </w:r>
      <w:bookmarkEnd w:id="34"/>
      <w:r>
        <w:rPr>
          <w:rFonts w:hint="eastAsia" w:ascii="方正仿宋_GB2312" w:hAnsi="方正仿宋_GB2312" w:eastAsia="方正仿宋_GB2312" w:cs="方正仿宋_GB2312"/>
          <w:sz w:val="32"/>
          <w:szCs w:val="32"/>
        </w:rPr>
        <w:t>万元，</w:t>
      </w:r>
      <w:bookmarkStart w:id="35" w:name="PO_part3A1IncAmount2"/>
      <w:r>
        <w:rPr>
          <w:rFonts w:hint="eastAsia" w:ascii="方正仿宋_GB2312" w:hAnsi="方正仿宋_GB2312" w:eastAsia="方正仿宋_GB2312" w:cs="方正仿宋_GB2312"/>
          <w:sz w:val="32"/>
          <w:szCs w:val="32"/>
        </w:rPr>
        <w:t>比上年增加</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59.43万元，增长</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62.13%，</w:t>
      </w:r>
      <w:bookmarkEnd w:id="35"/>
      <w:r>
        <w:rPr>
          <w:rFonts w:hint="eastAsia" w:ascii="方正仿宋_GB2312" w:hAnsi="方正仿宋_GB2312" w:eastAsia="方正仿宋_GB2312" w:cs="方正仿宋_GB2312"/>
          <w:sz w:val="32"/>
          <w:szCs w:val="32"/>
        </w:rPr>
        <w:t>主要原因是：</w:t>
      </w:r>
      <w:bookmarkStart w:id="36" w:name="PO_part3A1IncReason2"/>
      <w:r>
        <w:rPr>
          <w:rFonts w:hint="eastAsia" w:ascii="方正仿宋_GB2312" w:hAnsi="方正仿宋_GB2312" w:eastAsia="方正仿宋_GB2312" w:cs="方正仿宋_GB2312"/>
          <w:sz w:val="32"/>
          <w:szCs w:val="32"/>
        </w:rPr>
        <w:t xml:space="preserve">中心人员晋级晋档和政策性增支、2023年新公开招聘人员1名而相应增加的人员经费和业务经费支出。 </w:t>
      </w:r>
      <w:bookmarkEnd w:id="36"/>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部门收入总体情况说明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2024年收入总预算</w:t>
      </w:r>
      <w:bookmarkStart w:id="37" w:name="PO_part3A2Amount1"/>
      <w:r>
        <w:rPr>
          <w:rFonts w:hint="eastAsia" w:ascii="方正仿宋_GB2312" w:hAnsi="方正仿宋_GB2312" w:eastAsia="方正仿宋_GB2312" w:cs="方正仿宋_GB2312"/>
          <w:sz w:val="32"/>
          <w:szCs w:val="32"/>
          <w:lang w:val="en-US" w:eastAsia="zh-CN"/>
        </w:rPr>
        <w:t xml:space="preserve">155.09 </w:t>
      </w:r>
      <w:bookmarkEnd w:id="37"/>
      <w:r>
        <w:rPr>
          <w:rFonts w:hint="eastAsia" w:ascii="方正仿宋_GB2312" w:hAnsi="方正仿宋_GB2312" w:eastAsia="方正仿宋_GB2312" w:cs="方正仿宋_GB2312"/>
          <w:sz w:val="32"/>
          <w:szCs w:val="32"/>
          <w:lang w:val="en-US" w:eastAsia="zh-CN"/>
        </w:rPr>
        <w:t>万元，</w:t>
      </w:r>
      <w:bookmarkStart w:id="38" w:name="PO_part3A2IncAmount1"/>
      <w:r>
        <w:rPr>
          <w:rFonts w:hint="eastAsia" w:ascii="方正仿宋_GB2312" w:hAnsi="方正仿宋_GB2312" w:eastAsia="方正仿宋_GB2312" w:cs="方正仿宋_GB2312"/>
          <w:sz w:val="32"/>
          <w:szCs w:val="32"/>
          <w:lang w:val="en-US" w:eastAsia="zh-CN"/>
        </w:rPr>
        <w:t xml:space="preserve">比上年增加59.43万元，增长62.13%。 </w:t>
      </w:r>
      <w:bookmarkEnd w:id="38"/>
      <w:r>
        <w:rPr>
          <w:rFonts w:hint="eastAsia" w:ascii="方正仿宋_GB2312" w:hAnsi="方正仿宋_GB2312" w:eastAsia="方正仿宋_GB2312" w:cs="方正仿宋_GB2312"/>
          <w:sz w:val="32"/>
          <w:szCs w:val="32"/>
          <w:lang w:val="en-US" w:eastAsia="zh-CN"/>
        </w:rPr>
        <w:t>其中：</w:t>
      </w:r>
      <w:bookmarkStart w:id="39" w:name="PO_part3A2IncReason1"/>
      <w:r>
        <w:rPr>
          <w:rFonts w:hint="eastAsia" w:ascii="方正仿宋_GB2312" w:hAnsi="方正仿宋_GB2312" w:eastAsia="方正仿宋_GB2312" w:cs="方正仿宋_GB2312"/>
          <w:sz w:val="32"/>
          <w:szCs w:val="32"/>
          <w:lang w:val="en-US" w:eastAsia="zh-CN"/>
        </w:rPr>
        <w:t xml:space="preserve">一般公共预算155.09万元，占收入总预算100.00%，比上年增加59.43万元，增长62.13%；政府性基金预算0.00万元，占收入总预算0.00%，与上年持平，无增减变化；国有资本经营预算0.00万元，占收入总预算0.00%，与上年持平，无增减变化；财政专户管理资金0.00万元，占收入总预算0.00%，与上年持平，无增减变化；单位资金0.00万元，占收入总预算0.00%，与上年持平，无增减变化。 </w:t>
      </w:r>
      <w:bookmarkEnd w:id="39"/>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2024年收入预算总体</w:t>
      </w:r>
      <w:bookmarkStart w:id="40" w:name="PO_part3A2Amount2"/>
      <w:r>
        <w:rPr>
          <w:rFonts w:hint="eastAsia" w:ascii="方正仿宋_GB2312" w:hAnsi="方正仿宋_GB2312" w:eastAsia="方正仿宋_GB2312" w:cs="方正仿宋_GB2312"/>
          <w:sz w:val="32"/>
          <w:szCs w:val="32"/>
          <w:lang w:val="en-US" w:eastAsia="zh-CN"/>
        </w:rPr>
        <w:t xml:space="preserve">增加 </w:t>
      </w:r>
      <w:bookmarkEnd w:id="40"/>
      <w:r>
        <w:rPr>
          <w:rFonts w:hint="eastAsia" w:ascii="方正仿宋_GB2312" w:hAnsi="方正仿宋_GB2312" w:eastAsia="方正仿宋_GB2312" w:cs="方正仿宋_GB2312"/>
          <w:sz w:val="32"/>
          <w:szCs w:val="32"/>
          <w:lang w:val="en-US" w:eastAsia="zh-CN"/>
        </w:rPr>
        <w:t>，主要原因是：</w:t>
      </w:r>
      <w:bookmarkStart w:id="41" w:name="PO_part3A2IncReason2"/>
      <w:r>
        <w:rPr>
          <w:rFonts w:hint="eastAsia" w:ascii="方正仿宋_GB2312" w:hAnsi="方正仿宋_GB2312" w:eastAsia="方正仿宋_GB2312" w:cs="方正仿宋_GB2312"/>
          <w:sz w:val="32"/>
          <w:szCs w:val="32"/>
          <w:lang w:val="en-US" w:eastAsia="zh-CN"/>
        </w:rPr>
        <w:t>中心人员晋级晋档和政策性增支、2023年新公开招聘人员1名而相应增加的人员经费和业务经费收入。</w:t>
      </w:r>
    </w:p>
    <w:p>
      <w:pPr>
        <w:keepNext w:val="0"/>
        <w:keepLines w:val="0"/>
        <w:pageBreakBefore w:val="0"/>
        <w:widowControl w:val="0"/>
        <w:kinsoku/>
        <w:wordWrap/>
        <w:overflowPunct/>
        <w:topLinePunct w:val="0"/>
        <w:autoSpaceDE/>
        <w:autoSpaceDN/>
        <w:bidi w:val="0"/>
        <w:adjustRightInd/>
        <w:snapToGrid/>
        <w:spacing w:line="560" w:lineRule="exact"/>
        <w:ind w:left="0" w:firstLine="602" w:firstLineChars="200"/>
        <w:textAlignment w:val="auto"/>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w:t>
      </w:r>
      <w:bookmarkEnd w:id="41"/>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部门支出总体情况说明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2024年支出总预算</w:t>
      </w:r>
      <w:bookmarkStart w:id="42" w:name="PO_part3A3Amount2"/>
      <w:r>
        <w:rPr>
          <w:rFonts w:hint="eastAsia" w:ascii="方正仿宋_GB2312" w:hAnsi="方正仿宋_GB2312" w:eastAsia="方正仿宋_GB2312" w:cs="方正仿宋_GB2312"/>
          <w:sz w:val="32"/>
          <w:szCs w:val="32"/>
          <w:lang w:val="en-US" w:eastAsia="zh-CN"/>
        </w:rPr>
        <w:t xml:space="preserve">155.09 </w:t>
      </w:r>
      <w:bookmarkEnd w:id="42"/>
      <w:r>
        <w:rPr>
          <w:rFonts w:hint="eastAsia" w:ascii="方正仿宋_GB2312" w:hAnsi="方正仿宋_GB2312" w:eastAsia="方正仿宋_GB2312" w:cs="方正仿宋_GB2312"/>
          <w:sz w:val="32"/>
          <w:szCs w:val="32"/>
          <w:lang w:val="en-US" w:eastAsia="zh-CN"/>
        </w:rPr>
        <w:t>万元，其中：基本支出预算</w:t>
      </w:r>
      <w:bookmarkStart w:id="43" w:name="PO_part3A3Amount3"/>
      <w:r>
        <w:rPr>
          <w:rFonts w:hint="eastAsia" w:ascii="方正仿宋_GB2312" w:hAnsi="方正仿宋_GB2312" w:eastAsia="方正仿宋_GB2312" w:cs="方正仿宋_GB2312"/>
          <w:sz w:val="32"/>
          <w:szCs w:val="32"/>
          <w:lang w:val="en-US" w:eastAsia="zh-CN"/>
        </w:rPr>
        <w:t xml:space="preserve">155.09 </w:t>
      </w:r>
      <w:bookmarkEnd w:id="43"/>
      <w:r>
        <w:rPr>
          <w:rFonts w:hint="eastAsia" w:ascii="方正仿宋_GB2312" w:hAnsi="方正仿宋_GB2312" w:eastAsia="方正仿宋_GB2312" w:cs="方正仿宋_GB2312"/>
          <w:sz w:val="32"/>
          <w:szCs w:val="32"/>
          <w:lang w:val="en-US" w:eastAsia="zh-CN"/>
        </w:rPr>
        <w:t>万元，占支出总预算</w:t>
      </w:r>
      <w:bookmarkStart w:id="44" w:name="PO_part3A3Amount4"/>
      <w:r>
        <w:rPr>
          <w:rFonts w:hint="eastAsia" w:ascii="方正仿宋_GB2312" w:hAnsi="方正仿宋_GB2312" w:eastAsia="方正仿宋_GB2312" w:cs="方正仿宋_GB2312"/>
          <w:sz w:val="32"/>
          <w:szCs w:val="32"/>
          <w:lang w:val="en-US" w:eastAsia="zh-CN"/>
        </w:rPr>
        <w:t xml:space="preserve">100.00 </w:t>
      </w:r>
      <w:bookmarkEnd w:id="44"/>
      <w:r>
        <w:rPr>
          <w:rFonts w:hint="eastAsia" w:ascii="方正仿宋_GB2312" w:hAnsi="方正仿宋_GB2312" w:eastAsia="方正仿宋_GB2312" w:cs="方正仿宋_GB2312"/>
          <w:sz w:val="32"/>
          <w:szCs w:val="32"/>
          <w:lang w:val="en-US" w:eastAsia="zh-CN"/>
        </w:rPr>
        <w:t>%，</w:t>
      </w:r>
      <w:bookmarkStart w:id="45" w:name="PO_part3A3IncReason1"/>
      <w:r>
        <w:rPr>
          <w:rFonts w:hint="eastAsia" w:ascii="方正仿宋_GB2312" w:hAnsi="方正仿宋_GB2312" w:eastAsia="方正仿宋_GB2312" w:cs="方正仿宋_GB2312"/>
          <w:sz w:val="32"/>
          <w:szCs w:val="32"/>
          <w:lang w:val="en-US" w:eastAsia="zh-CN"/>
        </w:rPr>
        <w:t xml:space="preserve">比上年增加59.43万元，增长62.13%； </w:t>
      </w:r>
      <w:bookmarkEnd w:id="45"/>
      <w:r>
        <w:rPr>
          <w:rFonts w:hint="eastAsia" w:ascii="方正仿宋_GB2312" w:hAnsi="方正仿宋_GB2312" w:eastAsia="方正仿宋_GB2312" w:cs="方正仿宋_GB2312"/>
          <w:sz w:val="32"/>
          <w:szCs w:val="32"/>
          <w:lang w:val="en-US" w:eastAsia="zh-CN"/>
        </w:rPr>
        <w:t>项目支出预算</w:t>
      </w:r>
      <w:bookmarkStart w:id="46" w:name="PO_part3A3Amount5"/>
      <w:r>
        <w:rPr>
          <w:rFonts w:hint="eastAsia" w:ascii="方正仿宋_GB2312" w:hAnsi="方正仿宋_GB2312" w:eastAsia="方正仿宋_GB2312" w:cs="方正仿宋_GB2312"/>
          <w:sz w:val="32"/>
          <w:szCs w:val="32"/>
          <w:lang w:val="en-US" w:eastAsia="zh-CN"/>
        </w:rPr>
        <w:t>0.00</w:t>
      </w:r>
      <w:bookmarkEnd w:id="46"/>
      <w:r>
        <w:rPr>
          <w:rFonts w:hint="eastAsia" w:ascii="方正仿宋_GB2312" w:hAnsi="方正仿宋_GB2312" w:eastAsia="方正仿宋_GB2312" w:cs="方正仿宋_GB2312"/>
          <w:sz w:val="32"/>
          <w:szCs w:val="32"/>
          <w:lang w:val="en-US" w:eastAsia="zh-CN"/>
        </w:rPr>
        <w:t>万元，占支出总预算</w:t>
      </w:r>
      <w:bookmarkStart w:id="47" w:name="PO_part3A3Amount6"/>
      <w:r>
        <w:rPr>
          <w:rFonts w:hint="eastAsia" w:ascii="方正仿宋_GB2312" w:hAnsi="方正仿宋_GB2312" w:eastAsia="方正仿宋_GB2312" w:cs="方正仿宋_GB2312"/>
          <w:sz w:val="32"/>
          <w:szCs w:val="32"/>
          <w:lang w:val="en-US" w:eastAsia="zh-CN"/>
        </w:rPr>
        <w:t xml:space="preserve">0.00 </w:t>
      </w:r>
      <w:bookmarkEnd w:id="47"/>
      <w:r>
        <w:rPr>
          <w:rFonts w:hint="eastAsia" w:ascii="方正仿宋_GB2312" w:hAnsi="方正仿宋_GB2312" w:eastAsia="方正仿宋_GB2312" w:cs="方正仿宋_GB2312"/>
          <w:sz w:val="32"/>
          <w:szCs w:val="32"/>
          <w:lang w:val="en-US" w:eastAsia="zh-CN"/>
        </w:rPr>
        <w:t>%，</w:t>
      </w:r>
      <w:bookmarkStart w:id="48" w:name="PO_part3A3IncReason2"/>
      <w:r>
        <w:rPr>
          <w:rFonts w:hint="eastAsia" w:ascii="方正仿宋_GB2312" w:hAnsi="方正仿宋_GB2312" w:eastAsia="方正仿宋_GB2312" w:cs="方正仿宋_GB2312"/>
          <w:sz w:val="32"/>
          <w:szCs w:val="32"/>
          <w:lang w:val="en-US" w:eastAsia="zh-CN"/>
        </w:rPr>
        <w:t>与上年持平，无增减变化。</w:t>
      </w:r>
      <w:bookmarkEnd w:id="48"/>
      <w:r>
        <w:rPr>
          <w:rFonts w:hint="eastAsia" w:ascii="方正仿宋_GB2312" w:hAnsi="方正仿宋_GB2312" w:eastAsia="方正仿宋_GB2312" w:cs="方正仿宋_GB2312"/>
          <w:sz w:val="32"/>
          <w:szCs w:val="32"/>
          <w:lang w:val="en-US" w:eastAsia="zh-CN"/>
        </w:rPr>
        <w:t>主要原因是：中心人员晋级晋档和政策性增支、2023年新公开招聘人员1名而相应增加的人员经费和业务经费支出。</w:t>
      </w:r>
      <w:bookmarkStart w:id="49" w:name="PO_part3A3IncReason7"/>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49"/>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rPr>
        <w:t>财政拨款收支总体情况说明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2024年财政拨款收入总预算155.09万元，</w:t>
      </w:r>
      <w:bookmarkStart w:id="50" w:name="PO_part3A4IncAmount1"/>
      <w:r>
        <w:rPr>
          <w:rFonts w:hint="eastAsia" w:ascii="方正仿宋_GB2312" w:hAnsi="方正仿宋_GB2312" w:eastAsia="方正仿宋_GB2312" w:cs="方正仿宋_GB2312"/>
          <w:sz w:val="32"/>
          <w:szCs w:val="32"/>
          <w:lang w:val="en-US" w:eastAsia="zh-CN"/>
        </w:rPr>
        <w:t>比上年增加59.43万元，增长62.13%。</w:t>
      </w:r>
      <w:bookmarkEnd w:id="50"/>
      <w:bookmarkStart w:id="51" w:name="PO_part3A4IncReason1"/>
      <w:r>
        <w:rPr>
          <w:rFonts w:hint="eastAsia" w:ascii="方正仿宋_GB2312" w:hAnsi="方正仿宋_GB2312" w:eastAsia="方正仿宋_GB2312" w:cs="方正仿宋_GB2312"/>
          <w:sz w:val="32"/>
          <w:szCs w:val="32"/>
          <w:lang w:val="en-US" w:eastAsia="zh-CN"/>
        </w:rPr>
        <w:t xml:space="preserve">收入包括：一般公共预算拨款155.09万元；政府性基金预算拨款0.00万元；国有资本经营预算拨款0.00万元。 </w:t>
      </w:r>
      <w:bookmarkEnd w:id="51"/>
      <w:r>
        <w:rPr>
          <w:rFonts w:hint="eastAsia" w:ascii="方正仿宋_GB2312" w:hAnsi="方正仿宋_GB2312" w:eastAsia="方正仿宋_GB2312" w:cs="方正仿宋_GB2312"/>
          <w:sz w:val="32"/>
          <w:szCs w:val="32"/>
          <w:lang w:val="en-US" w:eastAsia="zh-CN"/>
        </w:rPr>
        <w:t>财政拨款</w:t>
      </w:r>
      <w:bookmarkStart w:id="52" w:name="PO_part3A4IncAmount2"/>
      <w:r>
        <w:rPr>
          <w:rFonts w:hint="eastAsia" w:ascii="方正仿宋_GB2312" w:hAnsi="方正仿宋_GB2312" w:eastAsia="方正仿宋_GB2312" w:cs="方正仿宋_GB2312"/>
          <w:sz w:val="32"/>
          <w:szCs w:val="32"/>
          <w:lang w:val="en-US" w:eastAsia="zh-CN"/>
        </w:rPr>
        <w:t xml:space="preserve">增加 </w:t>
      </w:r>
      <w:bookmarkEnd w:id="52"/>
      <w:r>
        <w:rPr>
          <w:rFonts w:hint="eastAsia" w:ascii="方正仿宋_GB2312" w:hAnsi="方正仿宋_GB2312" w:eastAsia="方正仿宋_GB2312" w:cs="方正仿宋_GB2312"/>
          <w:sz w:val="32"/>
          <w:szCs w:val="32"/>
          <w:lang w:val="en-US" w:eastAsia="zh-CN"/>
        </w:rPr>
        <w:t>主要原因是：</w:t>
      </w:r>
      <w:bookmarkStart w:id="53" w:name="PO_part3A4IncReason2"/>
      <w:r>
        <w:rPr>
          <w:rFonts w:hint="eastAsia" w:ascii="方正仿宋_GB2312" w:hAnsi="方正仿宋_GB2312" w:eastAsia="方正仿宋_GB2312" w:cs="方正仿宋_GB2312"/>
          <w:sz w:val="32"/>
          <w:szCs w:val="32"/>
          <w:lang w:val="en-US" w:eastAsia="zh-CN"/>
        </w:rPr>
        <w:t>中心人员晋级晋档和政策性增支、2023年新公开招聘人员1名而相应增加的人员经费和业务经费收入。。</w:t>
      </w:r>
      <w:bookmarkEnd w:id="53"/>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2024年财政拨款支出总预算155.09万元，</w:t>
      </w:r>
      <w:bookmarkStart w:id="54" w:name="PO_part3A4IncAmount3"/>
      <w:r>
        <w:rPr>
          <w:rFonts w:hint="eastAsia" w:ascii="方正仿宋_GB2312" w:hAnsi="方正仿宋_GB2312" w:eastAsia="方正仿宋_GB2312" w:cs="方正仿宋_GB2312"/>
          <w:sz w:val="32"/>
          <w:szCs w:val="32"/>
          <w:lang w:val="en-US" w:eastAsia="zh-CN"/>
        </w:rPr>
        <w:t xml:space="preserve">比上年增加59.43万元，增长62.13%。 </w:t>
      </w:r>
      <w:bookmarkEnd w:id="54"/>
      <w:bookmarkStart w:id="55" w:name="PO_part3A4IncReason3"/>
      <w:r>
        <w:rPr>
          <w:rFonts w:hint="eastAsia" w:ascii="方正仿宋_GB2312" w:hAnsi="方正仿宋_GB2312" w:eastAsia="方正仿宋_GB2312" w:cs="方正仿宋_GB2312"/>
          <w:sz w:val="32"/>
          <w:szCs w:val="32"/>
          <w:lang w:val="en-US" w:eastAsia="zh-CN"/>
        </w:rPr>
        <w:t xml:space="preserve">支出包括：一般公共服务支出106.22万元、社会保障和就业支出31.69万元、卫生健康支出4.79万元、住房保障支出12.39万元。 </w:t>
      </w:r>
      <w:bookmarkEnd w:id="55"/>
      <w:r>
        <w:rPr>
          <w:rFonts w:hint="eastAsia" w:ascii="方正仿宋_GB2312" w:hAnsi="方正仿宋_GB2312" w:eastAsia="方正仿宋_GB2312" w:cs="方正仿宋_GB2312"/>
          <w:sz w:val="32"/>
          <w:szCs w:val="32"/>
          <w:lang w:val="en-US" w:eastAsia="zh-CN"/>
        </w:rPr>
        <w:t>财政拨款支出</w:t>
      </w:r>
      <w:bookmarkStart w:id="56" w:name="PO_part3A4IncAmount4"/>
      <w:r>
        <w:rPr>
          <w:rFonts w:hint="eastAsia" w:ascii="方正仿宋_GB2312" w:hAnsi="方正仿宋_GB2312" w:eastAsia="方正仿宋_GB2312" w:cs="方正仿宋_GB2312"/>
          <w:sz w:val="32"/>
          <w:szCs w:val="32"/>
          <w:lang w:val="en-US" w:eastAsia="zh-CN"/>
        </w:rPr>
        <w:t xml:space="preserve">增加 </w:t>
      </w:r>
      <w:bookmarkEnd w:id="56"/>
      <w:r>
        <w:rPr>
          <w:rFonts w:hint="eastAsia" w:ascii="方正仿宋_GB2312" w:hAnsi="方正仿宋_GB2312" w:eastAsia="方正仿宋_GB2312" w:cs="方正仿宋_GB2312"/>
          <w:sz w:val="32"/>
          <w:szCs w:val="32"/>
          <w:lang w:val="en-US" w:eastAsia="zh-CN"/>
        </w:rPr>
        <w:t>主要原因是：</w:t>
      </w:r>
      <w:bookmarkStart w:id="57" w:name="PO_part3A4IncReason4"/>
      <w:r>
        <w:rPr>
          <w:rFonts w:hint="eastAsia" w:ascii="方正仿宋_GB2312" w:hAnsi="方正仿宋_GB2312" w:eastAsia="方正仿宋_GB2312" w:cs="方正仿宋_GB2312"/>
          <w:sz w:val="32"/>
          <w:szCs w:val="32"/>
          <w:lang w:val="en-US" w:eastAsia="zh-CN"/>
        </w:rPr>
        <w:t>中心人员晋级晋档和政策性增支、2023年新公开招聘人员1名而相应增加的人员经费和业务经费支出。</w:t>
      </w:r>
    </w:p>
    <w:p>
      <w:pPr>
        <w:keepNext w:val="0"/>
        <w:keepLines w:val="0"/>
        <w:pageBreakBefore w:val="0"/>
        <w:widowControl w:val="0"/>
        <w:kinsoku/>
        <w:wordWrap/>
        <w:overflowPunct/>
        <w:topLinePunct w:val="0"/>
        <w:autoSpaceDE/>
        <w:autoSpaceDN/>
        <w:bidi w:val="0"/>
        <w:adjustRightInd/>
        <w:snapToGrid/>
        <w:spacing w:line="560" w:lineRule="exact"/>
        <w:ind w:left="0" w:firstLine="602" w:firstLineChars="200"/>
        <w:textAlignment w:val="auto"/>
        <w:rPr>
          <w:rFonts w:hint="eastAsia" w:ascii="黑体" w:hAnsi="黑体" w:eastAsia="黑体" w:cs="黑体"/>
          <w:sz w:val="32"/>
          <w:szCs w:val="32"/>
        </w:rPr>
      </w:pPr>
      <w:r>
        <w:rPr>
          <w:rFonts w:hint="eastAsia" w:ascii="仿宋_GB2312" w:hAnsi="仿宋_GB2312" w:eastAsia="仿宋_GB2312" w:cs="仿宋_GB2312"/>
          <w:b/>
          <w:bCs/>
          <w:sz w:val="30"/>
          <w:szCs w:val="30"/>
        </w:rPr>
        <w:t xml:space="preserve"> </w:t>
      </w:r>
      <w:bookmarkEnd w:id="57"/>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rPr>
        <w:t>一般公共预算支出情况说明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2024年一般公共预算拨款支出</w:t>
      </w:r>
      <w:bookmarkStart w:id="58" w:name="PO_part3A5Amount1"/>
      <w:r>
        <w:rPr>
          <w:rFonts w:hint="eastAsia" w:ascii="方正仿宋_GB2312" w:hAnsi="方正仿宋_GB2312" w:eastAsia="方正仿宋_GB2312" w:cs="方正仿宋_GB2312"/>
          <w:sz w:val="32"/>
          <w:szCs w:val="32"/>
          <w:lang w:val="en-US" w:eastAsia="zh-CN"/>
        </w:rPr>
        <w:t xml:space="preserve">155.09 </w:t>
      </w:r>
      <w:bookmarkEnd w:id="58"/>
      <w:r>
        <w:rPr>
          <w:rFonts w:hint="eastAsia" w:ascii="方正仿宋_GB2312" w:hAnsi="方正仿宋_GB2312" w:eastAsia="方正仿宋_GB2312" w:cs="方正仿宋_GB2312"/>
          <w:sz w:val="32"/>
          <w:szCs w:val="32"/>
          <w:lang w:val="en-US" w:eastAsia="zh-CN"/>
        </w:rPr>
        <w:t>万元，</w:t>
      </w:r>
      <w:bookmarkStart w:id="59" w:name="PO_part3A5IncAmount1"/>
      <w:r>
        <w:rPr>
          <w:rFonts w:hint="eastAsia" w:ascii="方正仿宋_GB2312" w:hAnsi="方正仿宋_GB2312" w:eastAsia="方正仿宋_GB2312" w:cs="方正仿宋_GB2312"/>
          <w:sz w:val="32"/>
          <w:szCs w:val="32"/>
          <w:lang w:val="en-US" w:eastAsia="zh-CN"/>
        </w:rPr>
        <w:t xml:space="preserve">比上年增加59.43万元，增长62.13%。 </w:t>
      </w:r>
      <w:bookmarkEnd w:id="59"/>
      <w:r>
        <w:rPr>
          <w:rFonts w:hint="eastAsia" w:ascii="方正仿宋_GB2312" w:hAnsi="方正仿宋_GB2312" w:eastAsia="方正仿宋_GB2312" w:cs="方正仿宋_GB2312"/>
          <w:sz w:val="32"/>
          <w:szCs w:val="32"/>
          <w:lang w:val="en-US" w:eastAsia="zh-CN"/>
        </w:rPr>
        <w:t>其中：基本支出155.09万元，项目支出0.00万元。具体支出预算如下：</w:t>
      </w:r>
      <w:bookmarkStart w:id="60" w:name="PO_part3A5IncReason1"/>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一般公共服务支出（类）政府办公厅（室）及相关机构事务（款）事业运行（项）支出106.22万元，比上年增加 40.39万元，增长 61.36%。主要原因是：2023年新公开招聘人员1名，及中心在职人员晋级晋档、政策性增支等，引起人员经费和业务经费支出增加。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社会保障和就业支出（类）行政事业单位养老支出（款）机关事业单位基本养老保险缴费支出（项）支出21.13万元，比上年增加 6.34万元，增长 42.87%。主要原因是：2023年新公开招聘人员1名，及中心在职人员晋级晋档、政策性增支等，引起养老保险缴费基数增加，故基本养老保险费支出增加。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社会保障和就业支出（类）行政事业单位养老支出（款）机关事业单位职业年金缴费支出（项）支出10.56万元，比上年增加 10.56万元，增长 100%。主要原因是：2023年新公开招聘人员1名，及中心在职人员晋级晋档、政策性增支等，引起职业年金缴费基数增加，故职业年金缴费支出增加。。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卫生健康支出（类）行政事业单位医疗（款）事业单位医疗（项）支出4.79万元，比上年增加 0.84万元，增长 21.27%。主要原因是：2023年新公开招聘人员1名，及中心在职人员晋级晋档、政策性增支等，引起事业单位医疗缴费基数增加，故事业单位医疗缴费支出增加。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住房保障支出（类）住房改革支出（款）住房公积金（项）支出12.39万元，比上年增加 1.30万元，增长 11.72%。主要原因是：2023年新公开招聘人员1名，及中心在职人员晋级晋档、政策性增支等，引起住房公积金缴费基数增加，故住房公积金缴费支出增加。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60"/>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rPr>
        <w:t>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2024年一般公共预算基本支出</w:t>
      </w:r>
      <w:bookmarkStart w:id="61" w:name="PO_part3A6Amount1"/>
      <w:r>
        <w:rPr>
          <w:rFonts w:hint="eastAsia" w:ascii="方正仿宋_GB2312" w:hAnsi="方正仿宋_GB2312" w:eastAsia="方正仿宋_GB2312" w:cs="方正仿宋_GB2312"/>
          <w:sz w:val="32"/>
          <w:szCs w:val="32"/>
          <w:lang w:val="en-US" w:eastAsia="zh-CN"/>
        </w:rPr>
        <w:t xml:space="preserve">155.09 </w:t>
      </w:r>
      <w:bookmarkEnd w:id="61"/>
      <w:r>
        <w:rPr>
          <w:rFonts w:hint="eastAsia" w:ascii="方正仿宋_GB2312" w:hAnsi="方正仿宋_GB2312" w:eastAsia="方正仿宋_GB2312" w:cs="方正仿宋_GB2312"/>
          <w:sz w:val="32"/>
          <w:szCs w:val="32"/>
          <w:lang w:val="en-US" w:eastAsia="zh-CN"/>
        </w:rPr>
        <w:t>万元，</w:t>
      </w:r>
      <w:bookmarkStart w:id="62" w:name="PO_part3A6IncAmount1"/>
      <w:r>
        <w:rPr>
          <w:rFonts w:hint="eastAsia" w:ascii="方正仿宋_GB2312" w:hAnsi="方正仿宋_GB2312" w:eastAsia="方正仿宋_GB2312" w:cs="方正仿宋_GB2312"/>
          <w:sz w:val="32"/>
          <w:szCs w:val="32"/>
          <w:lang w:val="en-US" w:eastAsia="zh-CN"/>
        </w:rPr>
        <w:t xml:space="preserve">比上年增加59.43万元，增长62.13%。 </w:t>
      </w:r>
      <w:bookmarkEnd w:id="62"/>
      <w:r>
        <w:rPr>
          <w:rFonts w:hint="eastAsia" w:ascii="方正仿宋_GB2312" w:hAnsi="方正仿宋_GB2312" w:eastAsia="方正仿宋_GB2312" w:cs="方正仿宋_GB2312"/>
          <w:sz w:val="32"/>
          <w:szCs w:val="32"/>
          <w:lang w:val="en-US" w:eastAsia="zh-CN"/>
        </w:rPr>
        <w:t>其中：</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人员经费</w:t>
      </w:r>
      <w:bookmarkStart w:id="63" w:name="PO_part3A6Amount2"/>
      <w:r>
        <w:rPr>
          <w:rFonts w:hint="eastAsia" w:ascii="方正仿宋_GB2312" w:hAnsi="方正仿宋_GB2312" w:eastAsia="方正仿宋_GB2312" w:cs="方正仿宋_GB2312"/>
          <w:sz w:val="32"/>
          <w:szCs w:val="32"/>
          <w:lang w:val="en-US" w:eastAsia="zh-CN"/>
        </w:rPr>
        <w:t xml:space="preserve">144.09 </w:t>
      </w:r>
      <w:bookmarkEnd w:id="63"/>
      <w:r>
        <w:rPr>
          <w:rFonts w:hint="eastAsia" w:ascii="方正仿宋_GB2312" w:hAnsi="方正仿宋_GB2312" w:eastAsia="方正仿宋_GB2312" w:cs="方正仿宋_GB2312"/>
          <w:sz w:val="32"/>
          <w:szCs w:val="32"/>
          <w:lang w:val="en-US" w:eastAsia="zh-CN"/>
        </w:rPr>
        <w:t>万元，</w:t>
      </w:r>
      <w:bookmarkStart w:id="64" w:name="PO_part3A6IncAmount2"/>
      <w:r>
        <w:rPr>
          <w:rFonts w:hint="eastAsia" w:ascii="方正仿宋_GB2312" w:hAnsi="方正仿宋_GB2312" w:eastAsia="方正仿宋_GB2312" w:cs="方正仿宋_GB2312"/>
          <w:sz w:val="32"/>
          <w:szCs w:val="32"/>
          <w:lang w:val="en-US" w:eastAsia="zh-CN"/>
        </w:rPr>
        <w:t xml:space="preserve">比上年增加59.23万元，增长69.80%， </w:t>
      </w:r>
      <w:bookmarkEnd w:id="64"/>
      <w:r>
        <w:rPr>
          <w:rFonts w:hint="eastAsia" w:ascii="方正仿宋_GB2312" w:hAnsi="方正仿宋_GB2312" w:eastAsia="方正仿宋_GB2312" w:cs="方正仿宋_GB2312"/>
          <w:sz w:val="32"/>
          <w:szCs w:val="32"/>
          <w:lang w:val="en-US" w:eastAsia="zh-CN"/>
        </w:rPr>
        <w:t>主要包括：</w:t>
      </w:r>
      <w:bookmarkStart w:id="65" w:name="PO_part3A6IncReason1"/>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工资福利支出（类）基本工资（款）支出35.42万元，比上年增加7.52万元，增长26.95%。主要原因：2023年新公开招聘人员1名，及中心在职人员晋级晋档，引起基本工资支出增加。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工资福利支出（类）津贴补贴（款）支出4.76万元，比上年增加0.85万元，增长21.74%。主要原因：2023年新公开招聘人员1名，及中心在职人员晋级晋档，引起津贴补贴支出增加。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工资福利支出（类）绩效工资（款）支出54.38万元，比上年增加31.62万元，增长138.93%。主要原因：2023年新公开招聘人员1名，及中心在职人员晋级晋档，引起绩效工资支出增加。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机关事业单位基本养老保险缴费（款）支出21.13万元，比上年增加6.34万元，增长42.87%。主要原因：2023年新公开招聘人员1名，及中心在职人员晋级晋档，引起基本养老保险缴费基数增加，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工资福利支出（类）职业年金缴费（款）支出10.56万元，比上年增加10.56万元，增长100%。主要原因：2023年新公开招聘人员1名，及中心在职人员晋级晋档，引起职业年金缴费基数增加，支出增加。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工资福利支出（类）职工基本医疗保险缴费（款）支出4.66万元，比上年增加0.80万元，增长20.73%。主要原因：2023年新公开招聘人员1名，及中心在职人员晋级晋档，引起基本医疗保险缴费基数增加，支出增加。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工资福利支出（类）其他社会保障缴费（款）支出0.79万元，比上年增加0.24万元，增长43.64%。主要原因：2023年新公开招聘人员1名，及中心在职人员晋级晋档，引起其他社会保障缴费基数增加，支出增加。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工资福利支出（类）住房公积金（款）支出12.39万元，比上年增加1.30万元，增长11.72%。主要原因：2023年新公开招聘人员1名，及中心在职人员晋级晋档，引起住房公积金缴费基数增加，支出增加。</w:t>
      </w:r>
      <w:bookmarkEnd w:id="65"/>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公用经费11.00万元，</w:t>
      </w:r>
      <w:bookmarkStart w:id="66" w:name="PO_part3A6IncAmount3"/>
      <w:r>
        <w:rPr>
          <w:rFonts w:hint="eastAsia" w:ascii="方正仿宋_GB2312" w:hAnsi="方正仿宋_GB2312" w:eastAsia="方正仿宋_GB2312" w:cs="方正仿宋_GB2312"/>
          <w:sz w:val="32"/>
          <w:szCs w:val="32"/>
          <w:lang w:val="en-US" w:eastAsia="zh-CN"/>
        </w:rPr>
        <w:t xml:space="preserve">比上年增加0.20万元，增长1.85%， </w:t>
      </w:r>
      <w:bookmarkEnd w:id="66"/>
      <w:r>
        <w:rPr>
          <w:rFonts w:hint="eastAsia" w:ascii="方正仿宋_GB2312" w:hAnsi="方正仿宋_GB2312" w:eastAsia="方正仿宋_GB2312" w:cs="方正仿宋_GB2312"/>
          <w:sz w:val="32"/>
          <w:szCs w:val="32"/>
          <w:lang w:val="en-US" w:eastAsia="zh-CN"/>
        </w:rPr>
        <w:t>主要包括：</w:t>
      </w:r>
      <w:bookmarkStart w:id="67" w:name="PO_part3A6IncReason2"/>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商品和服务支出（类）办公费（款）支出4.40万元，比上年减少2.13万元，下降32.62%。主要原因：支出项目调整到差旅费、福利费和其他商品和服务支出。</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商品和服务支出（类）差旅费（款）支出1.50万元，比上年增加1.50万元，增长100%。主要原因：根据业务实际需要，调整增加差旅费支出。</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商品和服务支出（类）福利费（款）支出0.74万元，比上年增加0.07万元，增长10.45%。主要原因：2023年新公开招聘人员1名，相应增加福利费。。</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商品和服务支出（类）其他商品和服务支出（款）支出4.36万元，比上年增加0.76万元，增长21.11%。主要原因：根据业务实际需要，调整增加其他商品和服务支出。</w:t>
      </w:r>
    </w:p>
    <w:bookmarkEnd w:id="67"/>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rPr>
        <w:t>一般公共预算“三公”经费安排情况说明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本部门2024年一般公共预算安排的“三公”经费支出预算0.00万元，同口径比上年预算</w:t>
      </w:r>
      <w:bookmarkStart w:id="68" w:name="PO_part3A7Amount9"/>
      <w:r>
        <w:rPr>
          <w:rFonts w:hint="eastAsia" w:ascii="方正仿宋_GB2312" w:hAnsi="方正仿宋_GB2312" w:eastAsia="方正仿宋_GB2312" w:cs="方正仿宋_GB2312"/>
          <w:sz w:val="32"/>
          <w:szCs w:val="32"/>
          <w:lang w:val="en-US" w:eastAsia="zh-CN"/>
        </w:rPr>
        <w:t xml:space="preserve">0.00 </w:t>
      </w:r>
      <w:bookmarkEnd w:id="68"/>
      <w:r>
        <w:rPr>
          <w:rFonts w:hint="eastAsia" w:ascii="方正仿宋_GB2312" w:hAnsi="方正仿宋_GB2312" w:eastAsia="方正仿宋_GB2312" w:cs="方正仿宋_GB2312"/>
          <w:sz w:val="32"/>
          <w:szCs w:val="32"/>
          <w:lang w:val="en-US" w:eastAsia="zh-CN"/>
        </w:rPr>
        <w:t>万元，与上年持平，无增减变化。 其中：</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1.因公出国（境）经费预算</w:t>
      </w:r>
      <w:bookmarkStart w:id="69" w:name="PO_part3A7Amount10"/>
      <w:r>
        <w:rPr>
          <w:rFonts w:hint="eastAsia" w:ascii="方正仿宋_GB2312" w:hAnsi="方正仿宋_GB2312" w:eastAsia="方正仿宋_GB2312" w:cs="方正仿宋_GB2312"/>
          <w:sz w:val="32"/>
          <w:szCs w:val="32"/>
          <w:lang w:val="en-US" w:eastAsia="zh-CN"/>
        </w:rPr>
        <w:t xml:space="preserve">0.00 </w:t>
      </w:r>
      <w:bookmarkEnd w:id="69"/>
      <w:r>
        <w:rPr>
          <w:rFonts w:hint="eastAsia" w:ascii="方正仿宋_GB2312" w:hAnsi="方正仿宋_GB2312" w:eastAsia="方正仿宋_GB2312" w:cs="方正仿宋_GB2312"/>
          <w:sz w:val="32"/>
          <w:szCs w:val="32"/>
          <w:lang w:val="en-US" w:eastAsia="zh-CN"/>
        </w:rPr>
        <w:t xml:space="preserve">万元，与上年持平，无增减变化。 </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2.公务接待费预算</w:t>
      </w:r>
      <w:bookmarkStart w:id="70" w:name="PO_part3A7Amount11"/>
      <w:r>
        <w:rPr>
          <w:rFonts w:hint="eastAsia" w:ascii="方正仿宋_GB2312" w:hAnsi="方正仿宋_GB2312" w:eastAsia="方正仿宋_GB2312" w:cs="方正仿宋_GB2312"/>
          <w:sz w:val="32"/>
          <w:szCs w:val="32"/>
          <w:lang w:val="en-US" w:eastAsia="zh-CN"/>
        </w:rPr>
        <w:t>0.00</w:t>
      </w:r>
      <w:bookmarkEnd w:id="70"/>
      <w:r>
        <w:rPr>
          <w:rFonts w:hint="eastAsia" w:ascii="方正仿宋_GB2312" w:hAnsi="方正仿宋_GB2312" w:eastAsia="方正仿宋_GB2312" w:cs="方正仿宋_GB2312"/>
          <w:sz w:val="32"/>
          <w:szCs w:val="32"/>
          <w:lang w:val="en-US" w:eastAsia="zh-CN"/>
        </w:rPr>
        <w:t>万元，与上年持平，无增减变化。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3.公务用车购置及运行费预算</w:t>
      </w:r>
      <w:bookmarkStart w:id="71" w:name="PO_part3A7Amount12"/>
      <w:r>
        <w:rPr>
          <w:rFonts w:hint="eastAsia" w:ascii="方正仿宋_GB2312" w:hAnsi="方正仿宋_GB2312" w:eastAsia="方正仿宋_GB2312" w:cs="方正仿宋_GB2312"/>
          <w:sz w:val="32"/>
          <w:szCs w:val="32"/>
          <w:lang w:val="en-US" w:eastAsia="zh-CN"/>
        </w:rPr>
        <w:t xml:space="preserve">0.00 </w:t>
      </w:r>
      <w:bookmarkEnd w:id="71"/>
      <w:r>
        <w:rPr>
          <w:rFonts w:hint="eastAsia" w:ascii="方正仿宋_GB2312" w:hAnsi="方正仿宋_GB2312" w:eastAsia="方正仿宋_GB2312" w:cs="方正仿宋_GB2312"/>
          <w:sz w:val="32"/>
          <w:szCs w:val="32"/>
          <w:lang w:val="en-US" w:eastAsia="zh-CN"/>
        </w:rPr>
        <w:t>万元，与上年持平，无增减变化，其中：</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公务用车购置费预算0.00万元，与上年持平，无增减变化。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公务用车运行费预算0.00万元，与上年持平，无增减变化。</w:t>
      </w:r>
      <w:bookmarkStart w:id="72" w:name="PO_part3A7IncReason7"/>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72"/>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rPr>
        <w:t>政府性基金预算支出情况说明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百色市群众工作服务中心 2024年度没有政府性基金预算，故无数据情况说明。 </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rPr>
        <w:t>国有资本经营预算支出情况说明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百色市群众工作服务中心 2024年度没有国有资本经营预算，故无数据情况说明。 </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rPr>
        <w:t>其他重要事项说明</w:t>
      </w:r>
    </w:p>
    <w:p>
      <w:pPr>
        <w:keepNext w:val="0"/>
        <w:keepLines w:val="0"/>
        <w:pageBreakBefore w:val="0"/>
        <w:kinsoku/>
        <w:wordWrap/>
        <w:overflowPunct/>
        <w:topLinePunct w:val="0"/>
        <w:autoSpaceDE/>
        <w:autoSpaceDN/>
        <w:bidi w:val="0"/>
        <w:adjustRightInd/>
        <w:snapToGrid/>
        <w:spacing w:line="560" w:lineRule="exact"/>
        <w:ind w:left="0" w:firstLine="640" w:firstLineChars="200"/>
        <w:outlineLvl w:val="2"/>
        <w:rPr>
          <w:rFonts w:hint="eastAsia" w:ascii="黑体" w:hAnsi="黑体" w:eastAsia="黑体" w:cs="黑体"/>
          <w:sz w:val="32"/>
          <w:szCs w:val="32"/>
        </w:rPr>
      </w:pPr>
      <w:r>
        <w:rPr>
          <w:rFonts w:hint="eastAsia" w:ascii="黑体" w:hAnsi="黑体" w:eastAsia="黑体" w:cs="黑体"/>
          <w:sz w:val="32"/>
          <w:szCs w:val="32"/>
        </w:rPr>
        <w:t>（一）机关运行经费安排情况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机关运行经费指用于保障行政（含参照公务员法管理的事业单位）单位机关运行的经费。具体包括：办公费、印刷费、水费、电费、邮电费、物业管理费、差旅费、维修（护）费、租赁费、会议费、培训费、公务接待费、专用材料费、被装购置费、福利费、公务用车运行维护费、医疗费补助、办公设备购置、专用设备购置、信息网络及软件购置更新、公务用车购置、其他交通工具购置经济科目对应的预算资金。</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2024年，本部门事业单位相关运行费用11万元，比上年增加0.2万元，增加1.84%，主要原因是:2023年新公开招聘人员1名，相应增加事业单位运行经费。 </w:t>
      </w:r>
    </w:p>
    <w:p>
      <w:pPr>
        <w:keepNext w:val="0"/>
        <w:keepLines w:val="0"/>
        <w:pageBreakBefore w:val="0"/>
        <w:kinsoku/>
        <w:wordWrap/>
        <w:overflowPunct/>
        <w:topLinePunct w:val="0"/>
        <w:autoSpaceDE/>
        <w:autoSpaceDN/>
        <w:bidi w:val="0"/>
        <w:adjustRightInd/>
        <w:snapToGrid/>
        <w:spacing w:line="560" w:lineRule="exact"/>
        <w:ind w:left="0" w:firstLine="640" w:firstLineChars="200"/>
        <w:outlineLvl w:val="2"/>
        <w:rPr>
          <w:rFonts w:hint="eastAsia" w:ascii="黑体" w:hAnsi="黑体" w:eastAsia="黑体" w:cs="黑体"/>
          <w:sz w:val="32"/>
          <w:szCs w:val="32"/>
        </w:rPr>
      </w:pPr>
      <w:r>
        <w:rPr>
          <w:rFonts w:hint="eastAsia" w:ascii="黑体" w:hAnsi="黑体" w:eastAsia="黑体" w:cs="黑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2024年本部门政府采购安排0.36万元，</w:t>
      </w:r>
      <w:bookmarkStart w:id="73" w:name="PO_part3A10IncAmount2"/>
      <w:r>
        <w:rPr>
          <w:rFonts w:hint="eastAsia" w:ascii="方正仿宋_GB2312" w:hAnsi="方正仿宋_GB2312" w:eastAsia="方正仿宋_GB2312" w:cs="方正仿宋_GB2312"/>
          <w:sz w:val="32"/>
          <w:szCs w:val="32"/>
          <w:lang w:val="en-US" w:eastAsia="zh-CN"/>
        </w:rPr>
        <w:t xml:space="preserve">比上年增加0.36万元，增长100%。 </w:t>
      </w:r>
      <w:bookmarkEnd w:id="73"/>
      <w:r>
        <w:rPr>
          <w:rFonts w:hint="eastAsia" w:ascii="方正仿宋_GB2312" w:hAnsi="方正仿宋_GB2312" w:eastAsia="方正仿宋_GB2312" w:cs="方正仿宋_GB2312"/>
          <w:sz w:val="32"/>
          <w:szCs w:val="32"/>
          <w:lang w:val="en-US" w:eastAsia="zh-CN"/>
        </w:rPr>
        <w:t>其中：政府集中采购预算0.36万元，占政府采购预算100.00%，</w:t>
      </w:r>
      <w:bookmarkStart w:id="74" w:name="PO_part3A10IncAmount3"/>
      <w:r>
        <w:rPr>
          <w:rFonts w:hint="eastAsia" w:ascii="方正仿宋_GB2312" w:hAnsi="方正仿宋_GB2312" w:eastAsia="方正仿宋_GB2312" w:cs="方正仿宋_GB2312"/>
          <w:sz w:val="32"/>
          <w:szCs w:val="32"/>
          <w:lang w:val="en-US" w:eastAsia="zh-CN"/>
        </w:rPr>
        <w:t xml:space="preserve">比上年增加0.36万元，增长100%； </w:t>
      </w:r>
      <w:bookmarkEnd w:id="74"/>
      <w:r>
        <w:rPr>
          <w:rFonts w:hint="eastAsia" w:ascii="方正仿宋_GB2312" w:hAnsi="方正仿宋_GB2312" w:eastAsia="方正仿宋_GB2312" w:cs="方正仿宋_GB2312"/>
          <w:sz w:val="32"/>
          <w:szCs w:val="32"/>
          <w:lang w:val="en-US" w:eastAsia="zh-CN"/>
        </w:rPr>
        <w:t>分散采购预算0.00万元，占政府采购预算0.00%，</w:t>
      </w:r>
      <w:bookmarkStart w:id="75" w:name="PO_part3A10IncAmount4"/>
      <w:r>
        <w:rPr>
          <w:rFonts w:hint="eastAsia" w:ascii="方正仿宋_GB2312" w:hAnsi="方正仿宋_GB2312" w:eastAsia="方正仿宋_GB2312" w:cs="方正仿宋_GB2312"/>
          <w:sz w:val="32"/>
          <w:szCs w:val="32"/>
          <w:lang w:val="en-US" w:eastAsia="zh-CN"/>
        </w:rPr>
        <w:t xml:space="preserve">比上年增加0.00万元，增长0%。 </w:t>
      </w:r>
      <w:bookmarkEnd w:id="75"/>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按政府采购项目类型分为货物类采购、工程类采购和服务类采购三种类型。其中：货物类采购预算0.36万元，工程类采购预算0.00万元，服务类采购预算0.00万元等，用于采购复印纸和文件档案柜。</w:t>
      </w:r>
    </w:p>
    <w:p>
      <w:pPr>
        <w:keepNext w:val="0"/>
        <w:keepLines w:val="0"/>
        <w:pageBreakBefore w:val="0"/>
        <w:kinsoku/>
        <w:wordWrap/>
        <w:overflowPunct/>
        <w:topLinePunct w:val="0"/>
        <w:autoSpaceDE/>
        <w:autoSpaceDN/>
        <w:bidi w:val="0"/>
        <w:adjustRightInd/>
        <w:snapToGrid/>
        <w:spacing w:line="560" w:lineRule="exact"/>
        <w:ind w:left="0" w:firstLine="640" w:firstLineChars="200"/>
        <w:outlineLvl w:val="2"/>
        <w:rPr>
          <w:rFonts w:hint="eastAsia" w:ascii="黑体" w:hAnsi="黑体" w:eastAsia="黑体" w:cs="黑体"/>
          <w:sz w:val="32"/>
          <w:szCs w:val="32"/>
        </w:rPr>
      </w:pPr>
      <w:r>
        <w:rPr>
          <w:rFonts w:hint="eastAsia" w:ascii="黑体" w:hAnsi="黑体" w:eastAsia="黑体" w:cs="黑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截至2023年12月31日，本部门实有在编车辆0.00辆，其中：一般公务用车0.00辆，执法执勤用车0.00辆，其他业务用车0.00辆。车辆具体占用情况如下：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百色市群众工作服务中心单位0辆，包括0辆一般公务用车，0辆执法执勤用车，0辆其他业务用车。</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outlineLvl w:val="2"/>
        <w:rPr>
          <w:rFonts w:ascii="仿宋_GB2312" w:hAnsi="仿宋_GB2312" w:eastAsia="仿宋_GB2312" w:cs="仿宋_GB2312"/>
          <w:sz w:val="32"/>
          <w:szCs w:val="32"/>
        </w:rPr>
      </w:pPr>
      <w:r>
        <w:rPr>
          <w:rFonts w:hint="eastAsia" w:ascii="黑体" w:hAnsi="黑体" w:eastAsia="黑体" w:cs="黑体"/>
          <w:sz w:val="32"/>
          <w:szCs w:val="32"/>
        </w:rPr>
        <w:t>（</w:t>
      </w:r>
      <w:r>
        <w:rPr>
          <w:rFonts w:hint="eastAsia" w:ascii="黑体" w:hAnsi="黑体" w:eastAsia="黑体" w:cs="黑体"/>
          <w:sz w:val="32"/>
          <w:szCs w:val="32"/>
          <w:lang w:val="en-US" w:eastAsia="zh-CN"/>
        </w:rPr>
        <w:t>四</w:t>
      </w:r>
      <w:r>
        <w:rPr>
          <w:rFonts w:hint="eastAsia" w:ascii="黑体" w:hAnsi="黑体" w:eastAsia="黑体" w:cs="黑体"/>
          <w:sz w:val="32"/>
          <w:szCs w:val="32"/>
        </w:rPr>
        <w:t>）重点项目预算绩效目标等情况说明</w:t>
      </w:r>
      <w:bookmarkStart w:id="76" w:name="PO_part3A10IncReason2"/>
      <w:r>
        <w:rPr>
          <w:rFonts w:hint="eastAsia" w:ascii="仿宋_GB2312" w:hAnsi="仿宋_GB2312" w:eastAsia="仿宋_GB2312" w:cs="仿宋_GB2312"/>
          <w:sz w:val="32"/>
          <w:szCs w:val="32"/>
        </w:rPr>
        <w:t xml:space="preserve"> </w:t>
      </w:r>
      <w:bookmarkEnd w:id="76"/>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百色市群众工作服务中心2024年只有基本支出没有项目支出，故无项目数据情况说明。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sz w:val="32"/>
          <w:szCs w:val="32"/>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firstLine="880" w:firstLineChars="200"/>
        <w:jc w:val="center"/>
        <w:outlineLvl w:val="0"/>
        <w:rPr>
          <w:rFonts w:hint="eastAsia" w:ascii="黑体" w:hAnsi="黑体" w:eastAsia="黑体" w:cs="方正小标宋简体"/>
          <w:sz w:val="44"/>
          <w:szCs w:val="44"/>
        </w:rPr>
      </w:pPr>
      <w:r>
        <w:rPr>
          <w:rFonts w:hint="eastAsia" w:ascii="黑体" w:hAnsi="黑体" w:eastAsia="黑体" w:cs="方正小标宋简体"/>
          <w:sz w:val="44"/>
          <w:szCs w:val="44"/>
        </w:rPr>
        <w:t>第四部分  名词解释</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一、财政拨款收入</w:t>
      </w:r>
      <w:r>
        <w:rPr>
          <w:rFonts w:hint="eastAsia" w:ascii="仿宋_GB2312" w:eastAsia="仿宋_GB2312"/>
          <w:b/>
          <w:sz w:val="32"/>
          <w:szCs w:val="32"/>
        </w:rPr>
        <w:t>：</w:t>
      </w:r>
      <w:r>
        <w:rPr>
          <w:rFonts w:hint="eastAsia" w:ascii="仿宋_GB2312" w:eastAsia="仿宋_GB2312"/>
          <w:sz w:val="32"/>
          <w:szCs w:val="32"/>
          <w:lang w:val="en-US" w:eastAsia="zh-CN"/>
        </w:rPr>
        <w:t>指预算单位从本级财政部门取得的财政预算资金收入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二、事业收入</w:t>
      </w:r>
      <w:r>
        <w:rPr>
          <w:rFonts w:hint="eastAsia" w:ascii="仿宋_GB2312" w:eastAsia="仿宋_GB2312"/>
          <w:b/>
          <w:sz w:val="32"/>
          <w:szCs w:val="32"/>
        </w:rPr>
        <w:t>：</w:t>
      </w:r>
      <w:r>
        <w:rPr>
          <w:rFonts w:hint="eastAsia" w:ascii="仿宋_GB2312" w:eastAsia="仿宋_GB2312"/>
          <w:sz w:val="32"/>
          <w:szCs w:val="32"/>
          <w:lang w:val="en-US" w:eastAsia="zh-CN"/>
        </w:rPr>
        <w:t>指事业单位开展专业业务活动及辅助活动所取得的收入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三、经营收入</w:t>
      </w:r>
      <w:r>
        <w:rPr>
          <w:rFonts w:hint="eastAsia" w:ascii="仿宋_GB2312" w:eastAsia="仿宋_GB2312"/>
          <w:b/>
          <w:sz w:val="32"/>
          <w:szCs w:val="32"/>
        </w:rPr>
        <w:t>：</w:t>
      </w:r>
      <w:r>
        <w:rPr>
          <w:rFonts w:hint="eastAsia" w:ascii="仿宋_GB2312" w:eastAsia="仿宋_GB2312"/>
          <w:sz w:val="32"/>
          <w:szCs w:val="32"/>
          <w:lang w:val="en-US" w:eastAsia="zh-CN"/>
        </w:rPr>
        <w:t>指事业单位在专业业务活动及其辅助活动之外开展非独立核算经营活动取得的收入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四、其他收入</w:t>
      </w:r>
      <w:r>
        <w:rPr>
          <w:rFonts w:hint="eastAsia" w:ascii="仿宋_GB2312" w:eastAsia="仿宋_GB2312"/>
          <w:b/>
          <w:sz w:val="32"/>
          <w:szCs w:val="32"/>
        </w:rPr>
        <w:t>：</w:t>
      </w:r>
      <w:r>
        <w:rPr>
          <w:rFonts w:hint="eastAsia" w:ascii="仿宋_GB2312" w:eastAsia="仿宋_GB2312"/>
          <w:sz w:val="32"/>
          <w:szCs w:val="32"/>
          <w:lang w:val="en-US" w:eastAsia="zh-CN"/>
        </w:rPr>
        <w:t>指除上述“财政拨款收入”、“事业收入”、“经营收入”等以外的收入。主要是非本级财政拨款、存款利息收入、事业单位固定资产出租收入等</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五、用事业基金弥补收支差额</w:t>
      </w:r>
      <w:r>
        <w:rPr>
          <w:rFonts w:hint="eastAsia" w:ascii="仿宋_GB2312" w:eastAsia="仿宋_GB2312"/>
          <w:b/>
          <w:sz w:val="32"/>
          <w:szCs w:val="32"/>
        </w:rPr>
        <w:t>：</w:t>
      </w:r>
      <w:r>
        <w:rPr>
          <w:rFonts w:hint="eastAsia" w:ascii="仿宋_GB2312" w:eastAsia="仿宋_GB2312"/>
          <w:sz w:val="32"/>
          <w:szCs w:val="32"/>
          <w:lang w:val="en-US" w:eastAsia="zh-CN"/>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六、年初结转和结余</w:t>
      </w:r>
      <w:r>
        <w:rPr>
          <w:rFonts w:hint="eastAsia" w:ascii="仿宋_GB2312" w:eastAsia="仿宋_GB2312"/>
          <w:b/>
          <w:sz w:val="32"/>
          <w:szCs w:val="32"/>
        </w:rPr>
        <w:t>：</w:t>
      </w:r>
      <w:r>
        <w:rPr>
          <w:rFonts w:hint="eastAsia" w:ascii="仿宋_GB2312" w:eastAsia="仿宋_GB2312"/>
          <w:sz w:val="32"/>
          <w:szCs w:val="32"/>
          <w:lang w:val="en-US" w:eastAsia="zh-CN"/>
        </w:rPr>
        <w:t>指以前年度尚未完成、结转到本年按有关规定继续使用的资金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七、结余分配</w:t>
      </w:r>
      <w:r>
        <w:rPr>
          <w:rFonts w:hint="eastAsia" w:ascii="仿宋_GB2312" w:eastAsia="仿宋_GB2312"/>
          <w:b/>
          <w:sz w:val="32"/>
          <w:szCs w:val="32"/>
        </w:rPr>
        <w:t>：</w:t>
      </w:r>
      <w:r>
        <w:rPr>
          <w:rFonts w:hint="eastAsia" w:ascii="仿宋_GB2312" w:eastAsia="仿宋_GB2312"/>
          <w:sz w:val="32"/>
          <w:szCs w:val="32"/>
          <w:lang w:val="en-US" w:eastAsia="zh-CN"/>
        </w:rPr>
        <w:t>指事业单位按规定提取的职工福利基金、事业基金和缴纳的所得税，以及建设单位按规定应交回的基本建设竣工项目结余资金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八、年末结转和结余</w:t>
      </w:r>
      <w:r>
        <w:rPr>
          <w:rFonts w:hint="eastAsia" w:ascii="仿宋_GB2312" w:eastAsia="仿宋_GB2312"/>
          <w:b/>
          <w:sz w:val="32"/>
          <w:szCs w:val="32"/>
        </w:rPr>
        <w:t>：</w:t>
      </w:r>
      <w:r>
        <w:rPr>
          <w:rFonts w:hint="eastAsia" w:ascii="仿宋_GB2312" w:eastAsia="仿宋_GB2312"/>
          <w:sz w:val="32"/>
          <w:szCs w:val="32"/>
          <w:lang w:val="en-US" w:eastAsia="zh-CN"/>
        </w:rPr>
        <w:t>指本年度或以前年度预算安排、因客观条件发生变化无法按原计划实施，需要延迟到以后年度按有关规定继续使用的资金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九、基本支出</w:t>
      </w:r>
      <w:r>
        <w:rPr>
          <w:rFonts w:hint="eastAsia" w:ascii="仿宋_GB2312" w:eastAsia="仿宋_GB2312"/>
          <w:b/>
          <w:sz w:val="32"/>
          <w:szCs w:val="32"/>
        </w:rPr>
        <w:t>：</w:t>
      </w:r>
      <w:r>
        <w:rPr>
          <w:rFonts w:hint="eastAsia" w:ascii="仿宋_GB2312" w:eastAsia="仿宋_GB2312"/>
          <w:sz w:val="32"/>
          <w:szCs w:val="32"/>
          <w:lang w:val="en-US" w:eastAsia="zh-CN"/>
        </w:rPr>
        <w:t>指为保障机构正常运转、完成日常工作任务而发生的人员支出和公用支出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十、项目支出</w:t>
      </w:r>
      <w:r>
        <w:rPr>
          <w:rFonts w:hint="eastAsia" w:ascii="仿宋_GB2312" w:eastAsia="仿宋_GB2312"/>
          <w:b/>
          <w:sz w:val="32"/>
          <w:szCs w:val="32"/>
        </w:rPr>
        <w:t>：</w:t>
      </w:r>
      <w:r>
        <w:rPr>
          <w:rFonts w:hint="eastAsia" w:ascii="仿宋_GB2312" w:eastAsia="仿宋_GB2312"/>
          <w:sz w:val="32"/>
          <w:szCs w:val="32"/>
          <w:lang w:val="en-US" w:eastAsia="zh-CN"/>
        </w:rPr>
        <w:t>指在基本支出之外为完成特定行政任务和事业发展目标所发生的支出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十一、经营支出</w:t>
      </w:r>
      <w:r>
        <w:rPr>
          <w:rFonts w:hint="eastAsia" w:ascii="仿宋_GB2312" w:eastAsia="仿宋_GB2312"/>
          <w:b/>
          <w:sz w:val="32"/>
          <w:szCs w:val="32"/>
        </w:rPr>
        <w:t>：</w:t>
      </w:r>
      <w:r>
        <w:rPr>
          <w:rFonts w:hint="eastAsia" w:ascii="仿宋_GB2312" w:eastAsia="仿宋_GB2312"/>
          <w:sz w:val="32"/>
          <w:szCs w:val="32"/>
          <w:lang w:val="en-US" w:eastAsia="zh-CN"/>
        </w:rPr>
        <w:t>指事业单位在专业业务活动及其辅助活动之外开展非独立核算经营活动所发生的支出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十二、“三公”经费</w:t>
      </w:r>
      <w:r>
        <w:rPr>
          <w:rFonts w:hint="eastAsia" w:ascii="仿宋_GB2312" w:eastAsia="仿宋_GB2312"/>
          <w:b/>
          <w:sz w:val="32"/>
          <w:szCs w:val="32"/>
        </w:rPr>
        <w:t>：</w:t>
      </w:r>
      <w:r>
        <w:rPr>
          <w:rFonts w:hint="eastAsia" w:ascii="仿宋_GB2312" w:eastAsia="仿宋_GB2312"/>
          <w:sz w:val="32"/>
          <w:szCs w:val="32"/>
          <w:lang w:val="en-US" w:eastAsia="zh-CN"/>
        </w:rPr>
        <w:t>纳入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十三、机关运行经费</w:t>
      </w:r>
      <w:r>
        <w:rPr>
          <w:rFonts w:hint="eastAsia" w:ascii="仿宋_GB2312" w:eastAsia="仿宋_GB2312"/>
          <w:b/>
          <w:sz w:val="32"/>
          <w:szCs w:val="32"/>
        </w:rPr>
        <w:t>：</w:t>
      </w:r>
      <w:r>
        <w:rPr>
          <w:rFonts w:hint="eastAsia" w:ascii="仿宋_GB2312" w:eastAsia="仿宋_GB2312"/>
          <w:sz w:val="32"/>
          <w:szCs w:val="32"/>
          <w:lang w:val="en-US" w:eastAsia="zh-CN"/>
        </w:rPr>
        <w:t>为保障行政单位（含参照公务员法管理的事业单位、机关服务中心）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60" w:lineRule="exact"/>
        <w:ind w:left="0" w:firstLine="420" w:firstLineChars="200"/>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C40826-2D7A-4DDA-A6F0-9C799471F8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3F883A66-7CAD-4C64-B8B4-6C30E24366E5}"/>
  </w:font>
  <w:font w:name="仿宋_GB2312">
    <w:panose1 w:val="02010609030101010101"/>
    <w:charset w:val="86"/>
    <w:family w:val="modern"/>
    <w:pitch w:val="default"/>
    <w:sig w:usb0="00000001" w:usb1="080E0000" w:usb2="00000000" w:usb3="00000000" w:csb0="00040000" w:csb1="00000000"/>
    <w:embedRegular r:id="rId3" w:fontKey="{BC738D30-09ED-4F44-923E-C9E1AC586E03}"/>
  </w:font>
  <w:font w:name="方正仿宋_GB2312">
    <w:panose1 w:val="02000000000000000000"/>
    <w:charset w:val="86"/>
    <w:family w:val="auto"/>
    <w:pitch w:val="default"/>
    <w:sig w:usb0="A00002BF" w:usb1="184F6CFA" w:usb2="00000012" w:usb3="00000000" w:csb0="00040001" w:csb1="00000000"/>
    <w:embedRegular r:id="rId4" w:fontKey="{D3361C92-9516-441C-957F-05CD0CAEAA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E7F76"/>
    <w:multiLevelType w:val="singleLevel"/>
    <w:tmpl w:val="565E7F76"/>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0ZGUyYmIxZGI1NDNhNGZjZWI4Mzc3NjA3N2EzYzgifQ=="/>
  </w:docVars>
  <w:rsids>
    <w:rsidRoot w:val="00560CCC"/>
    <w:rsid w:val="00001E5E"/>
    <w:rsid w:val="00011766"/>
    <w:rsid w:val="00033665"/>
    <w:rsid w:val="000617A4"/>
    <w:rsid w:val="0007617B"/>
    <w:rsid w:val="000907DB"/>
    <w:rsid w:val="000A2339"/>
    <w:rsid w:val="000A4C11"/>
    <w:rsid w:val="000B12F2"/>
    <w:rsid w:val="000C0314"/>
    <w:rsid w:val="000C504A"/>
    <w:rsid w:val="000D6DA0"/>
    <w:rsid w:val="000E5D5A"/>
    <w:rsid w:val="000F6B2B"/>
    <w:rsid w:val="00117AC7"/>
    <w:rsid w:val="001272E3"/>
    <w:rsid w:val="00152FBA"/>
    <w:rsid w:val="00164A5F"/>
    <w:rsid w:val="001666FD"/>
    <w:rsid w:val="00176374"/>
    <w:rsid w:val="001A6EA7"/>
    <w:rsid w:val="001B3230"/>
    <w:rsid w:val="001B3533"/>
    <w:rsid w:val="001D18AA"/>
    <w:rsid w:val="001D4270"/>
    <w:rsid w:val="001D7B98"/>
    <w:rsid w:val="001E155E"/>
    <w:rsid w:val="001E1898"/>
    <w:rsid w:val="001F299F"/>
    <w:rsid w:val="001F46F7"/>
    <w:rsid w:val="001F7057"/>
    <w:rsid w:val="002040BA"/>
    <w:rsid w:val="00204F0B"/>
    <w:rsid w:val="00204F40"/>
    <w:rsid w:val="0020745E"/>
    <w:rsid w:val="00213DA9"/>
    <w:rsid w:val="002214E6"/>
    <w:rsid w:val="00254882"/>
    <w:rsid w:val="0025738D"/>
    <w:rsid w:val="0027242E"/>
    <w:rsid w:val="002A0E8F"/>
    <w:rsid w:val="002A1814"/>
    <w:rsid w:val="002A279B"/>
    <w:rsid w:val="002A4F4F"/>
    <w:rsid w:val="002A5D7C"/>
    <w:rsid w:val="002C450A"/>
    <w:rsid w:val="002C4D26"/>
    <w:rsid w:val="002D10CA"/>
    <w:rsid w:val="002E2B3D"/>
    <w:rsid w:val="002E5849"/>
    <w:rsid w:val="002F229E"/>
    <w:rsid w:val="002F5B21"/>
    <w:rsid w:val="00305022"/>
    <w:rsid w:val="00314A0B"/>
    <w:rsid w:val="00332209"/>
    <w:rsid w:val="00337C11"/>
    <w:rsid w:val="00350932"/>
    <w:rsid w:val="00353B2F"/>
    <w:rsid w:val="00360505"/>
    <w:rsid w:val="00365D9B"/>
    <w:rsid w:val="003752C8"/>
    <w:rsid w:val="00381040"/>
    <w:rsid w:val="00383D98"/>
    <w:rsid w:val="00386BE9"/>
    <w:rsid w:val="003965B7"/>
    <w:rsid w:val="003B5C0A"/>
    <w:rsid w:val="003C0CF8"/>
    <w:rsid w:val="003C277E"/>
    <w:rsid w:val="00457527"/>
    <w:rsid w:val="00464718"/>
    <w:rsid w:val="0047400F"/>
    <w:rsid w:val="00490C63"/>
    <w:rsid w:val="004936C2"/>
    <w:rsid w:val="00496DA9"/>
    <w:rsid w:val="004B1127"/>
    <w:rsid w:val="004B324A"/>
    <w:rsid w:val="004B52F0"/>
    <w:rsid w:val="004B6727"/>
    <w:rsid w:val="004E28F1"/>
    <w:rsid w:val="004E7373"/>
    <w:rsid w:val="005121E4"/>
    <w:rsid w:val="00540DC4"/>
    <w:rsid w:val="005442BE"/>
    <w:rsid w:val="0055292C"/>
    <w:rsid w:val="00560CCC"/>
    <w:rsid w:val="0057264A"/>
    <w:rsid w:val="00576BE2"/>
    <w:rsid w:val="005806C8"/>
    <w:rsid w:val="00584AAC"/>
    <w:rsid w:val="0059256A"/>
    <w:rsid w:val="005A6D9A"/>
    <w:rsid w:val="005D1AA9"/>
    <w:rsid w:val="005E42B5"/>
    <w:rsid w:val="005E7A43"/>
    <w:rsid w:val="005E7C33"/>
    <w:rsid w:val="006012DC"/>
    <w:rsid w:val="00624FAE"/>
    <w:rsid w:val="0063274E"/>
    <w:rsid w:val="00660972"/>
    <w:rsid w:val="00675556"/>
    <w:rsid w:val="00692FA7"/>
    <w:rsid w:val="006A5F54"/>
    <w:rsid w:val="006B4205"/>
    <w:rsid w:val="006C562F"/>
    <w:rsid w:val="006D2EA0"/>
    <w:rsid w:val="006E7395"/>
    <w:rsid w:val="006F5282"/>
    <w:rsid w:val="00707AB9"/>
    <w:rsid w:val="007125BE"/>
    <w:rsid w:val="00716279"/>
    <w:rsid w:val="00717A05"/>
    <w:rsid w:val="0072797F"/>
    <w:rsid w:val="00735E59"/>
    <w:rsid w:val="007364D6"/>
    <w:rsid w:val="00754D9A"/>
    <w:rsid w:val="00771D3C"/>
    <w:rsid w:val="007A7827"/>
    <w:rsid w:val="007C35B7"/>
    <w:rsid w:val="007C3E78"/>
    <w:rsid w:val="007C5C61"/>
    <w:rsid w:val="007F5309"/>
    <w:rsid w:val="00807C0E"/>
    <w:rsid w:val="008171CC"/>
    <w:rsid w:val="0082037C"/>
    <w:rsid w:val="00822B8D"/>
    <w:rsid w:val="008249E3"/>
    <w:rsid w:val="00847B34"/>
    <w:rsid w:val="00856A69"/>
    <w:rsid w:val="00872AE0"/>
    <w:rsid w:val="00885685"/>
    <w:rsid w:val="008C53AB"/>
    <w:rsid w:val="008D6223"/>
    <w:rsid w:val="008E1601"/>
    <w:rsid w:val="008E6D60"/>
    <w:rsid w:val="008E779F"/>
    <w:rsid w:val="008F28F9"/>
    <w:rsid w:val="00900D14"/>
    <w:rsid w:val="00901DA1"/>
    <w:rsid w:val="00910A29"/>
    <w:rsid w:val="00924E6D"/>
    <w:rsid w:val="00940221"/>
    <w:rsid w:val="0095514F"/>
    <w:rsid w:val="009656EC"/>
    <w:rsid w:val="0096638C"/>
    <w:rsid w:val="00972008"/>
    <w:rsid w:val="009757C4"/>
    <w:rsid w:val="00992139"/>
    <w:rsid w:val="00993DEF"/>
    <w:rsid w:val="00997BAF"/>
    <w:rsid w:val="009A3772"/>
    <w:rsid w:val="009B01A7"/>
    <w:rsid w:val="009C2BCD"/>
    <w:rsid w:val="009C6A97"/>
    <w:rsid w:val="009D26CF"/>
    <w:rsid w:val="009D477C"/>
    <w:rsid w:val="009D4811"/>
    <w:rsid w:val="009E35C5"/>
    <w:rsid w:val="009E70F5"/>
    <w:rsid w:val="009E72BD"/>
    <w:rsid w:val="009F3B8E"/>
    <w:rsid w:val="00A02D97"/>
    <w:rsid w:val="00A10E8A"/>
    <w:rsid w:val="00A551B2"/>
    <w:rsid w:val="00A61DA2"/>
    <w:rsid w:val="00A63695"/>
    <w:rsid w:val="00A64367"/>
    <w:rsid w:val="00A77A6A"/>
    <w:rsid w:val="00A9055E"/>
    <w:rsid w:val="00A96D33"/>
    <w:rsid w:val="00AA08AD"/>
    <w:rsid w:val="00AA09D6"/>
    <w:rsid w:val="00AB3983"/>
    <w:rsid w:val="00AB3E95"/>
    <w:rsid w:val="00AB6CA7"/>
    <w:rsid w:val="00AB741C"/>
    <w:rsid w:val="00AD3ED6"/>
    <w:rsid w:val="00AE2452"/>
    <w:rsid w:val="00AF6644"/>
    <w:rsid w:val="00B036C2"/>
    <w:rsid w:val="00B0656C"/>
    <w:rsid w:val="00B07183"/>
    <w:rsid w:val="00B10B68"/>
    <w:rsid w:val="00B11453"/>
    <w:rsid w:val="00B43AF7"/>
    <w:rsid w:val="00B462C6"/>
    <w:rsid w:val="00B46918"/>
    <w:rsid w:val="00B50902"/>
    <w:rsid w:val="00B51E7C"/>
    <w:rsid w:val="00B85DF3"/>
    <w:rsid w:val="00BC60F6"/>
    <w:rsid w:val="00BE7680"/>
    <w:rsid w:val="00C1127C"/>
    <w:rsid w:val="00C14640"/>
    <w:rsid w:val="00C223D7"/>
    <w:rsid w:val="00C3080E"/>
    <w:rsid w:val="00C56CF8"/>
    <w:rsid w:val="00C63DF8"/>
    <w:rsid w:val="00C706A0"/>
    <w:rsid w:val="00C70E61"/>
    <w:rsid w:val="00C83A84"/>
    <w:rsid w:val="00CA497A"/>
    <w:rsid w:val="00CC0A5F"/>
    <w:rsid w:val="00CC1A8E"/>
    <w:rsid w:val="00CC4783"/>
    <w:rsid w:val="00CC5033"/>
    <w:rsid w:val="00CE14B0"/>
    <w:rsid w:val="00CF6007"/>
    <w:rsid w:val="00D15F5C"/>
    <w:rsid w:val="00D20272"/>
    <w:rsid w:val="00D32921"/>
    <w:rsid w:val="00D6610C"/>
    <w:rsid w:val="00D77C2C"/>
    <w:rsid w:val="00D84242"/>
    <w:rsid w:val="00D87E6F"/>
    <w:rsid w:val="00D90536"/>
    <w:rsid w:val="00D90FB3"/>
    <w:rsid w:val="00DA05DE"/>
    <w:rsid w:val="00DA157E"/>
    <w:rsid w:val="00DA23EC"/>
    <w:rsid w:val="00DB1F4B"/>
    <w:rsid w:val="00DC09D2"/>
    <w:rsid w:val="00DC0DF2"/>
    <w:rsid w:val="00DD58FD"/>
    <w:rsid w:val="00DD778A"/>
    <w:rsid w:val="00DE172B"/>
    <w:rsid w:val="00DE3F8D"/>
    <w:rsid w:val="00DE53ED"/>
    <w:rsid w:val="00E15280"/>
    <w:rsid w:val="00E36114"/>
    <w:rsid w:val="00E523EF"/>
    <w:rsid w:val="00E55BD8"/>
    <w:rsid w:val="00E74E88"/>
    <w:rsid w:val="00E8195C"/>
    <w:rsid w:val="00E864AB"/>
    <w:rsid w:val="00E93323"/>
    <w:rsid w:val="00EA00CC"/>
    <w:rsid w:val="00ED7808"/>
    <w:rsid w:val="00EF4DAB"/>
    <w:rsid w:val="00F00F6A"/>
    <w:rsid w:val="00F15349"/>
    <w:rsid w:val="00F37786"/>
    <w:rsid w:val="00F55DF6"/>
    <w:rsid w:val="00F57A35"/>
    <w:rsid w:val="00F60FAC"/>
    <w:rsid w:val="00F83CDA"/>
    <w:rsid w:val="00F9420E"/>
    <w:rsid w:val="00F9750D"/>
    <w:rsid w:val="00FB2244"/>
    <w:rsid w:val="00FB62B3"/>
    <w:rsid w:val="00FC1442"/>
    <w:rsid w:val="00FC6D50"/>
    <w:rsid w:val="00FD089E"/>
    <w:rsid w:val="00FE675F"/>
    <w:rsid w:val="00FF0D3C"/>
    <w:rsid w:val="00FF259D"/>
    <w:rsid w:val="01036D43"/>
    <w:rsid w:val="010D427B"/>
    <w:rsid w:val="012A0989"/>
    <w:rsid w:val="013805A3"/>
    <w:rsid w:val="01714809"/>
    <w:rsid w:val="01776BD7"/>
    <w:rsid w:val="017839F7"/>
    <w:rsid w:val="017B11E4"/>
    <w:rsid w:val="018A79CF"/>
    <w:rsid w:val="018D0F17"/>
    <w:rsid w:val="01910D47"/>
    <w:rsid w:val="01916BDC"/>
    <w:rsid w:val="01945110"/>
    <w:rsid w:val="019C1919"/>
    <w:rsid w:val="01B0282E"/>
    <w:rsid w:val="01B32CF1"/>
    <w:rsid w:val="01B45622"/>
    <w:rsid w:val="01C26E13"/>
    <w:rsid w:val="01C7267B"/>
    <w:rsid w:val="01D41E44"/>
    <w:rsid w:val="01D90AFF"/>
    <w:rsid w:val="01D95F9B"/>
    <w:rsid w:val="01FC710B"/>
    <w:rsid w:val="01FD609D"/>
    <w:rsid w:val="020E02AA"/>
    <w:rsid w:val="02117D9A"/>
    <w:rsid w:val="02123C79"/>
    <w:rsid w:val="02177074"/>
    <w:rsid w:val="022A49B8"/>
    <w:rsid w:val="022B0E5C"/>
    <w:rsid w:val="023C4E17"/>
    <w:rsid w:val="023C4EBB"/>
    <w:rsid w:val="023D64D3"/>
    <w:rsid w:val="02443CCC"/>
    <w:rsid w:val="02532A52"/>
    <w:rsid w:val="025D690F"/>
    <w:rsid w:val="026365D7"/>
    <w:rsid w:val="02762D3E"/>
    <w:rsid w:val="02777BFD"/>
    <w:rsid w:val="028265A2"/>
    <w:rsid w:val="02895B83"/>
    <w:rsid w:val="028A3BBA"/>
    <w:rsid w:val="02A62291"/>
    <w:rsid w:val="02C31095"/>
    <w:rsid w:val="02D50DC8"/>
    <w:rsid w:val="02EF1E8A"/>
    <w:rsid w:val="02EF28D7"/>
    <w:rsid w:val="02FF0C65"/>
    <w:rsid w:val="030D2310"/>
    <w:rsid w:val="03284CF4"/>
    <w:rsid w:val="03517310"/>
    <w:rsid w:val="03697D60"/>
    <w:rsid w:val="036D1000"/>
    <w:rsid w:val="03A2514E"/>
    <w:rsid w:val="03A42A90"/>
    <w:rsid w:val="03B749B0"/>
    <w:rsid w:val="03BD5AE4"/>
    <w:rsid w:val="03C2759E"/>
    <w:rsid w:val="03C50E3C"/>
    <w:rsid w:val="03CE5F43"/>
    <w:rsid w:val="03DA227A"/>
    <w:rsid w:val="03E26ED3"/>
    <w:rsid w:val="03EC461B"/>
    <w:rsid w:val="03EF2B33"/>
    <w:rsid w:val="04041965"/>
    <w:rsid w:val="040A2CF3"/>
    <w:rsid w:val="040D00EE"/>
    <w:rsid w:val="040E0D93"/>
    <w:rsid w:val="04111891"/>
    <w:rsid w:val="043A35D9"/>
    <w:rsid w:val="04414C5A"/>
    <w:rsid w:val="045046D1"/>
    <w:rsid w:val="047168CE"/>
    <w:rsid w:val="04814D63"/>
    <w:rsid w:val="049B1897"/>
    <w:rsid w:val="04A24CDA"/>
    <w:rsid w:val="04BC5D9C"/>
    <w:rsid w:val="04E470A0"/>
    <w:rsid w:val="04E97DD1"/>
    <w:rsid w:val="04F03C97"/>
    <w:rsid w:val="04F35535"/>
    <w:rsid w:val="04F80D9E"/>
    <w:rsid w:val="05123C0E"/>
    <w:rsid w:val="05195009"/>
    <w:rsid w:val="051B15A9"/>
    <w:rsid w:val="05235E1B"/>
    <w:rsid w:val="05295307"/>
    <w:rsid w:val="052B1173"/>
    <w:rsid w:val="053B7608"/>
    <w:rsid w:val="05596E5C"/>
    <w:rsid w:val="05600E1D"/>
    <w:rsid w:val="056170FB"/>
    <w:rsid w:val="056A3A4A"/>
    <w:rsid w:val="057743B8"/>
    <w:rsid w:val="05B15E1B"/>
    <w:rsid w:val="05B20F4D"/>
    <w:rsid w:val="05C313AC"/>
    <w:rsid w:val="05C72C4A"/>
    <w:rsid w:val="05C869C2"/>
    <w:rsid w:val="05CC64B2"/>
    <w:rsid w:val="05D2339D"/>
    <w:rsid w:val="05D76A8A"/>
    <w:rsid w:val="05DA63D5"/>
    <w:rsid w:val="06035C4C"/>
    <w:rsid w:val="061B724B"/>
    <w:rsid w:val="062E4029"/>
    <w:rsid w:val="063955D8"/>
    <w:rsid w:val="06400C4E"/>
    <w:rsid w:val="06562220"/>
    <w:rsid w:val="066C559F"/>
    <w:rsid w:val="06930D7E"/>
    <w:rsid w:val="06986394"/>
    <w:rsid w:val="069A3DCD"/>
    <w:rsid w:val="069C1310"/>
    <w:rsid w:val="06B37672"/>
    <w:rsid w:val="06B454AB"/>
    <w:rsid w:val="06B64A6C"/>
    <w:rsid w:val="06C36432"/>
    <w:rsid w:val="06CB0518"/>
    <w:rsid w:val="07216662"/>
    <w:rsid w:val="073747A5"/>
    <w:rsid w:val="074A1311"/>
    <w:rsid w:val="074A3B33"/>
    <w:rsid w:val="074E4C94"/>
    <w:rsid w:val="07524795"/>
    <w:rsid w:val="075E313A"/>
    <w:rsid w:val="07683FB9"/>
    <w:rsid w:val="078037FF"/>
    <w:rsid w:val="078B7CA7"/>
    <w:rsid w:val="07A86AAB"/>
    <w:rsid w:val="07B264E2"/>
    <w:rsid w:val="07BE69AE"/>
    <w:rsid w:val="07C338E5"/>
    <w:rsid w:val="07D7113E"/>
    <w:rsid w:val="07DE071F"/>
    <w:rsid w:val="07FD05F4"/>
    <w:rsid w:val="07FF6A27"/>
    <w:rsid w:val="080053A9"/>
    <w:rsid w:val="08017F69"/>
    <w:rsid w:val="08033CE1"/>
    <w:rsid w:val="08161C67"/>
    <w:rsid w:val="0822685D"/>
    <w:rsid w:val="08265067"/>
    <w:rsid w:val="08367CC1"/>
    <w:rsid w:val="08457A88"/>
    <w:rsid w:val="086821BB"/>
    <w:rsid w:val="086C13EE"/>
    <w:rsid w:val="08783F6C"/>
    <w:rsid w:val="0889068B"/>
    <w:rsid w:val="088E5CD2"/>
    <w:rsid w:val="08AA0601"/>
    <w:rsid w:val="08B4089E"/>
    <w:rsid w:val="08D37B58"/>
    <w:rsid w:val="08D77379"/>
    <w:rsid w:val="08E27D9B"/>
    <w:rsid w:val="08EF4C46"/>
    <w:rsid w:val="09105B16"/>
    <w:rsid w:val="092F2A83"/>
    <w:rsid w:val="09394272"/>
    <w:rsid w:val="09450FED"/>
    <w:rsid w:val="09543578"/>
    <w:rsid w:val="095A3DD5"/>
    <w:rsid w:val="095F5373"/>
    <w:rsid w:val="096609CC"/>
    <w:rsid w:val="098A290C"/>
    <w:rsid w:val="098A46BA"/>
    <w:rsid w:val="099E4EE1"/>
    <w:rsid w:val="09A412D6"/>
    <w:rsid w:val="09AF3CD4"/>
    <w:rsid w:val="09D670BD"/>
    <w:rsid w:val="09D77A57"/>
    <w:rsid w:val="09E57B43"/>
    <w:rsid w:val="0A0655BF"/>
    <w:rsid w:val="0A067AB9"/>
    <w:rsid w:val="0A140428"/>
    <w:rsid w:val="0A1F5B1A"/>
    <w:rsid w:val="0A205206"/>
    <w:rsid w:val="0A222B45"/>
    <w:rsid w:val="0A29389E"/>
    <w:rsid w:val="0A2B7F5D"/>
    <w:rsid w:val="0A333D80"/>
    <w:rsid w:val="0A357A30"/>
    <w:rsid w:val="0A4A6971"/>
    <w:rsid w:val="0A6F38B0"/>
    <w:rsid w:val="0A7055E5"/>
    <w:rsid w:val="0A7A14EC"/>
    <w:rsid w:val="0A7E24A5"/>
    <w:rsid w:val="0A874DD1"/>
    <w:rsid w:val="0A8A2498"/>
    <w:rsid w:val="0A92506E"/>
    <w:rsid w:val="0A981059"/>
    <w:rsid w:val="0AA2244C"/>
    <w:rsid w:val="0AA31575"/>
    <w:rsid w:val="0AA66C64"/>
    <w:rsid w:val="0AB203A8"/>
    <w:rsid w:val="0ABE1947"/>
    <w:rsid w:val="0AC57974"/>
    <w:rsid w:val="0ACC3362"/>
    <w:rsid w:val="0ADD2F10"/>
    <w:rsid w:val="0AE147AE"/>
    <w:rsid w:val="0AF64815"/>
    <w:rsid w:val="0AFA5870"/>
    <w:rsid w:val="0B016BFE"/>
    <w:rsid w:val="0B071BA7"/>
    <w:rsid w:val="0B0E2A6A"/>
    <w:rsid w:val="0B1A3596"/>
    <w:rsid w:val="0B381EF4"/>
    <w:rsid w:val="0B3A5C6C"/>
    <w:rsid w:val="0B4D593C"/>
    <w:rsid w:val="0B502FED"/>
    <w:rsid w:val="0B6373B4"/>
    <w:rsid w:val="0B6A21C3"/>
    <w:rsid w:val="0B6C25DF"/>
    <w:rsid w:val="0B724B39"/>
    <w:rsid w:val="0B7F731F"/>
    <w:rsid w:val="0B8D0492"/>
    <w:rsid w:val="0B9C2483"/>
    <w:rsid w:val="0B9E444D"/>
    <w:rsid w:val="0BA8707A"/>
    <w:rsid w:val="0BBE689D"/>
    <w:rsid w:val="0BC1013B"/>
    <w:rsid w:val="0BC67500"/>
    <w:rsid w:val="0BCB2D68"/>
    <w:rsid w:val="0BCB7D33"/>
    <w:rsid w:val="0BF46F3F"/>
    <w:rsid w:val="0BF95B27"/>
    <w:rsid w:val="0BFF2A12"/>
    <w:rsid w:val="0BFF62F6"/>
    <w:rsid w:val="0C193AD3"/>
    <w:rsid w:val="0C1B5314"/>
    <w:rsid w:val="0C2343F9"/>
    <w:rsid w:val="0C434FF4"/>
    <w:rsid w:val="0C4548C9"/>
    <w:rsid w:val="0C462940"/>
    <w:rsid w:val="0C5A4BA3"/>
    <w:rsid w:val="0C661175"/>
    <w:rsid w:val="0C684027"/>
    <w:rsid w:val="0C6D3E1F"/>
    <w:rsid w:val="0C8F023A"/>
    <w:rsid w:val="0C963376"/>
    <w:rsid w:val="0C9C424D"/>
    <w:rsid w:val="0CA24551"/>
    <w:rsid w:val="0CCC1461"/>
    <w:rsid w:val="0CE916F8"/>
    <w:rsid w:val="0CF23D55"/>
    <w:rsid w:val="0D095D2A"/>
    <w:rsid w:val="0D1F15BD"/>
    <w:rsid w:val="0D270FEC"/>
    <w:rsid w:val="0D3A1F53"/>
    <w:rsid w:val="0D3F756A"/>
    <w:rsid w:val="0D4205F6"/>
    <w:rsid w:val="0D4C15CA"/>
    <w:rsid w:val="0D527471"/>
    <w:rsid w:val="0D570D57"/>
    <w:rsid w:val="0D592EEF"/>
    <w:rsid w:val="0D5F7C0C"/>
    <w:rsid w:val="0D6E7E4F"/>
    <w:rsid w:val="0D7A67F4"/>
    <w:rsid w:val="0D832434"/>
    <w:rsid w:val="0D8C4A31"/>
    <w:rsid w:val="0DA41AC3"/>
    <w:rsid w:val="0DA47D15"/>
    <w:rsid w:val="0DAA3924"/>
    <w:rsid w:val="0DAE649D"/>
    <w:rsid w:val="0DC932D7"/>
    <w:rsid w:val="0DCF495E"/>
    <w:rsid w:val="0DDE33CC"/>
    <w:rsid w:val="0DFB570C"/>
    <w:rsid w:val="0E005A9E"/>
    <w:rsid w:val="0E017A76"/>
    <w:rsid w:val="0E1450E4"/>
    <w:rsid w:val="0E19425F"/>
    <w:rsid w:val="0E223278"/>
    <w:rsid w:val="0E285773"/>
    <w:rsid w:val="0E3015A8"/>
    <w:rsid w:val="0E364DDA"/>
    <w:rsid w:val="0E405625"/>
    <w:rsid w:val="0E4F61B7"/>
    <w:rsid w:val="0E653000"/>
    <w:rsid w:val="0E791713"/>
    <w:rsid w:val="0E796AAB"/>
    <w:rsid w:val="0E807E3A"/>
    <w:rsid w:val="0E884F40"/>
    <w:rsid w:val="0E97177E"/>
    <w:rsid w:val="0EA77ABC"/>
    <w:rsid w:val="0EAB162B"/>
    <w:rsid w:val="0EAE0E4B"/>
    <w:rsid w:val="0EBD108E"/>
    <w:rsid w:val="0ECB7FF9"/>
    <w:rsid w:val="0ECD6DF7"/>
    <w:rsid w:val="0EF11263"/>
    <w:rsid w:val="0EF63A53"/>
    <w:rsid w:val="0EFB5712"/>
    <w:rsid w:val="0F144A26"/>
    <w:rsid w:val="0F256C33"/>
    <w:rsid w:val="0F5C08A7"/>
    <w:rsid w:val="0F6109AA"/>
    <w:rsid w:val="0F637C9A"/>
    <w:rsid w:val="0F6E05DA"/>
    <w:rsid w:val="0F6F0E3D"/>
    <w:rsid w:val="0FC1070A"/>
    <w:rsid w:val="0FC3444E"/>
    <w:rsid w:val="0FC71A98"/>
    <w:rsid w:val="0FC843B1"/>
    <w:rsid w:val="0FCC70AF"/>
    <w:rsid w:val="0FD54405"/>
    <w:rsid w:val="0FF36C20"/>
    <w:rsid w:val="10010DE7"/>
    <w:rsid w:val="101146EA"/>
    <w:rsid w:val="10117079"/>
    <w:rsid w:val="101747CE"/>
    <w:rsid w:val="10305890"/>
    <w:rsid w:val="103435D2"/>
    <w:rsid w:val="103C005D"/>
    <w:rsid w:val="103F4B2D"/>
    <w:rsid w:val="104F21BA"/>
    <w:rsid w:val="1052657B"/>
    <w:rsid w:val="1053332C"/>
    <w:rsid w:val="10563548"/>
    <w:rsid w:val="105E7593"/>
    <w:rsid w:val="10786825"/>
    <w:rsid w:val="107A5A2B"/>
    <w:rsid w:val="107E484D"/>
    <w:rsid w:val="107F4121"/>
    <w:rsid w:val="10993435"/>
    <w:rsid w:val="109B4BF6"/>
    <w:rsid w:val="10FC21CE"/>
    <w:rsid w:val="10FC5772"/>
    <w:rsid w:val="1102722C"/>
    <w:rsid w:val="11062AC9"/>
    <w:rsid w:val="110765F0"/>
    <w:rsid w:val="111B209C"/>
    <w:rsid w:val="111E393A"/>
    <w:rsid w:val="114F61E9"/>
    <w:rsid w:val="1153530B"/>
    <w:rsid w:val="11701E29"/>
    <w:rsid w:val="11717704"/>
    <w:rsid w:val="117A14B8"/>
    <w:rsid w:val="117A2E35"/>
    <w:rsid w:val="11862280"/>
    <w:rsid w:val="119A56B6"/>
    <w:rsid w:val="119D44AA"/>
    <w:rsid w:val="11A46141"/>
    <w:rsid w:val="11AA069F"/>
    <w:rsid w:val="11C444E1"/>
    <w:rsid w:val="11C865A2"/>
    <w:rsid w:val="11DA5722"/>
    <w:rsid w:val="11DC71F8"/>
    <w:rsid w:val="11EB3476"/>
    <w:rsid w:val="11EC3680"/>
    <w:rsid w:val="11FE3E97"/>
    <w:rsid w:val="120945EA"/>
    <w:rsid w:val="1211524D"/>
    <w:rsid w:val="121E0096"/>
    <w:rsid w:val="121F06BA"/>
    <w:rsid w:val="122C0164"/>
    <w:rsid w:val="12652607"/>
    <w:rsid w:val="126A3816"/>
    <w:rsid w:val="12891287"/>
    <w:rsid w:val="12922832"/>
    <w:rsid w:val="129465AA"/>
    <w:rsid w:val="129701D5"/>
    <w:rsid w:val="129B7767"/>
    <w:rsid w:val="129C720C"/>
    <w:rsid w:val="12AF5192"/>
    <w:rsid w:val="12C616AB"/>
    <w:rsid w:val="12DD1CFF"/>
    <w:rsid w:val="12F71BF7"/>
    <w:rsid w:val="13016A31"/>
    <w:rsid w:val="13053004"/>
    <w:rsid w:val="13070B2A"/>
    <w:rsid w:val="132555BA"/>
    <w:rsid w:val="13332C74"/>
    <w:rsid w:val="13390EFF"/>
    <w:rsid w:val="133F0089"/>
    <w:rsid w:val="13410513"/>
    <w:rsid w:val="134B1AD3"/>
    <w:rsid w:val="13587797"/>
    <w:rsid w:val="136A249C"/>
    <w:rsid w:val="137926EE"/>
    <w:rsid w:val="13806B2E"/>
    <w:rsid w:val="13824654"/>
    <w:rsid w:val="138403CC"/>
    <w:rsid w:val="138A52B7"/>
    <w:rsid w:val="13946135"/>
    <w:rsid w:val="139D148E"/>
    <w:rsid w:val="13AF1201"/>
    <w:rsid w:val="13C576DE"/>
    <w:rsid w:val="13DD0ACE"/>
    <w:rsid w:val="13EB50CE"/>
    <w:rsid w:val="13F015BE"/>
    <w:rsid w:val="13F43E5A"/>
    <w:rsid w:val="14117786"/>
    <w:rsid w:val="141D437D"/>
    <w:rsid w:val="14254B61"/>
    <w:rsid w:val="142E20E6"/>
    <w:rsid w:val="143B1266"/>
    <w:rsid w:val="143E4A1F"/>
    <w:rsid w:val="143E558A"/>
    <w:rsid w:val="14431274"/>
    <w:rsid w:val="144C7045"/>
    <w:rsid w:val="14552EB1"/>
    <w:rsid w:val="1457163D"/>
    <w:rsid w:val="145B2E54"/>
    <w:rsid w:val="146124BC"/>
    <w:rsid w:val="146401FE"/>
    <w:rsid w:val="14643D5A"/>
    <w:rsid w:val="147D226B"/>
    <w:rsid w:val="148015B9"/>
    <w:rsid w:val="14825131"/>
    <w:rsid w:val="149C34F4"/>
    <w:rsid w:val="14A66120"/>
    <w:rsid w:val="14B628F2"/>
    <w:rsid w:val="14C67496"/>
    <w:rsid w:val="14DE66C6"/>
    <w:rsid w:val="14F74624"/>
    <w:rsid w:val="1517701E"/>
    <w:rsid w:val="1534258F"/>
    <w:rsid w:val="15393438"/>
    <w:rsid w:val="154716B1"/>
    <w:rsid w:val="15597637"/>
    <w:rsid w:val="156A1844"/>
    <w:rsid w:val="1574621E"/>
    <w:rsid w:val="15802E15"/>
    <w:rsid w:val="1584460A"/>
    <w:rsid w:val="15847ACA"/>
    <w:rsid w:val="1585667E"/>
    <w:rsid w:val="1587205C"/>
    <w:rsid w:val="15AC3C0A"/>
    <w:rsid w:val="15B35F47"/>
    <w:rsid w:val="15D0546F"/>
    <w:rsid w:val="15DB44F0"/>
    <w:rsid w:val="15F1381F"/>
    <w:rsid w:val="15F829AC"/>
    <w:rsid w:val="161D0664"/>
    <w:rsid w:val="162B4B2F"/>
    <w:rsid w:val="162C08A7"/>
    <w:rsid w:val="16356869"/>
    <w:rsid w:val="163C4C29"/>
    <w:rsid w:val="164B6F7F"/>
    <w:rsid w:val="166149F5"/>
    <w:rsid w:val="16816E45"/>
    <w:rsid w:val="16886BA2"/>
    <w:rsid w:val="168F6C2A"/>
    <w:rsid w:val="16A0311C"/>
    <w:rsid w:val="16C44047"/>
    <w:rsid w:val="16C62AAA"/>
    <w:rsid w:val="16DE0A1B"/>
    <w:rsid w:val="16EA7853"/>
    <w:rsid w:val="16FD6AE2"/>
    <w:rsid w:val="17057A2A"/>
    <w:rsid w:val="17410B14"/>
    <w:rsid w:val="17577A16"/>
    <w:rsid w:val="175E2CE2"/>
    <w:rsid w:val="17664476"/>
    <w:rsid w:val="176B0226"/>
    <w:rsid w:val="17777B16"/>
    <w:rsid w:val="1783099B"/>
    <w:rsid w:val="178F5592"/>
    <w:rsid w:val="17945B62"/>
    <w:rsid w:val="17BD20FF"/>
    <w:rsid w:val="17BD5C5B"/>
    <w:rsid w:val="17D80CE7"/>
    <w:rsid w:val="17DC7FDE"/>
    <w:rsid w:val="17DF30DD"/>
    <w:rsid w:val="17E21BDA"/>
    <w:rsid w:val="17E55ACB"/>
    <w:rsid w:val="17F31CE1"/>
    <w:rsid w:val="18080C8D"/>
    <w:rsid w:val="18147845"/>
    <w:rsid w:val="18245CDA"/>
    <w:rsid w:val="182E3B95"/>
    <w:rsid w:val="183D3DB6"/>
    <w:rsid w:val="1843557E"/>
    <w:rsid w:val="185A5BA0"/>
    <w:rsid w:val="185D743E"/>
    <w:rsid w:val="187753D6"/>
    <w:rsid w:val="18822A00"/>
    <w:rsid w:val="18972950"/>
    <w:rsid w:val="189D783A"/>
    <w:rsid w:val="18A706B9"/>
    <w:rsid w:val="18A71303"/>
    <w:rsid w:val="18B057C0"/>
    <w:rsid w:val="18C9062F"/>
    <w:rsid w:val="18E3314F"/>
    <w:rsid w:val="18E37943"/>
    <w:rsid w:val="18E41600"/>
    <w:rsid w:val="18F2402A"/>
    <w:rsid w:val="18F73BF3"/>
    <w:rsid w:val="19006747"/>
    <w:rsid w:val="1901426D"/>
    <w:rsid w:val="192341E3"/>
    <w:rsid w:val="19235F91"/>
    <w:rsid w:val="19244075"/>
    <w:rsid w:val="19362169"/>
    <w:rsid w:val="19502AFF"/>
    <w:rsid w:val="19573E8D"/>
    <w:rsid w:val="19662322"/>
    <w:rsid w:val="197F0D78"/>
    <w:rsid w:val="198509FA"/>
    <w:rsid w:val="19856C4C"/>
    <w:rsid w:val="199D3F96"/>
    <w:rsid w:val="19AF5817"/>
    <w:rsid w:val="19B22E0D"/>
    <w:rsid w:val="19B4308D"/>
    <w:rsid w:val="1A085187"/>
    <w:rsid w:val="1A0A34A9"/>
    <w:rsid w:val="1A2032A6"/>
    <w:rsid w:val="1A366198"/>
    <w:rsid w:val="1A402B73"/>
    <w:rsid w:val="1A4C776A"/>
    <w:rsid w:val="1A5328A6"/>
    <w:rsid w:val="1A5D3725"/>
    <w:rsid w:val="1A6C5716"/>
    <w:rsid w:val="1A78230D"/>
    <w:rsid w:val="1AA72BF2"/>
    <w:rsid w:val="1ABD5F72"/>
    <w:rsid w:val="1AC11F06"/>
    <w:rsid w:val="1AC45552"/>
    <w:rsid w:val="1AC93C23"/>
    <w:rsid w:val="1ACC5E29"/>
    <w:rsid w:val="1AE23C2A"/>
    <w:rsid w:val="1AFA5418"/>
    <w:rsid w:val="1B0D514B"/>
    <w:rsid w:val="1B0F49DD"/>
    <w:rsid w:val="1B663169"/>
    <w:rsid w:val="1B83540D"/>
    <w:rsid w:val="1B8814BB"/>
    <w:rsid w:val="1BA62EAA"/>
    <w:rsid w:val="1BAC5DB8"/>
    <w:rsid w:val="1BBD4F04"/>
    <w:rsid w:val="1BC25F36"/>
    <w:rsid w:val="1BD80C8D"/>
    <w:rsid w:val="1BE32CA3"/>
    <w:rsid w:val="1BF754B3"/>
    <w:rsid w:val="1C114776"/>
    <w:rsid w:val="1C197B20"/>
    <w:rsid w:val="1C2C33AF"/>
    <w:rsid w:val="1C35495A"/>
    <w:rsid w:val="1C45352C"/>
    <w:rsid w:val="1C512E16"/>
    <w:rsid w:val="1C746B04"/>
    <w:rsid w:val="1C79317F"/>
    <w:rsid w:val="1C8F393E"/>
    <w:rsid w:val="1C907DE2"/>
    <w:rsid w:val="1C913B5A"/>
    <w:rsid w:val="1C9B02A5"/>
    <w:rsid w:val="1CA92C52"/>
    <w:rsid w:val="1CDD28FB"/>
    <w:rsid w:val="1CE912A0"/>
    <w:rsid w:val="1CF346E3"/>
    <w:rsid w:val="1D046798"/>
    <w:rsid w:val="1D49361B"/>
    <w:rsid w:val="1D4D4C12"/>
    <w:rsid w:val="1D4D5CD3"/>
    <w:rsid w:val="1D6979D9"/>
    <w:rsid w:val="1D70551D"/>
    <w:rsid w:val="1D7160DC"/>
    <w:rsid w:val="1D7166CD"/>
    <w:rsid w:val="1D781388"/>
    <w:rsid w:val="1D884F5D"/>
    <w:rsid w:val="1DA66342"/>
    <w:rsid w:val="1DA84C4A"/>
    <w:rsid w:val="1DB64F9B"/>
    <w:rsid w:val="1DC25772"/>
    <w:rsid w:val="1DCF0496"/>
    <w:rsid w:val="1DDC7057"/>
    <w:rsid w:val="1DEF28E6"/>
    <w:rsid w:val="1DF24C70"/>
    <w:rsid w:val="1E1918C8"/>
    <w:rsid w:val="1E2D606F"/>
    <w:rsid w:val="1E435F9C"/>
    <w:rsid w:val="1E4C1AE7"/>
    <w:rsid w:val="1E5037DD"/>
    <w:rsid w:val="1E636E30"/>
    <w:rsid w:val="1E8C282B"/>
    <w:rsid w:val="1E984D2C"/>
    <w:rsid w:val="1E9E13E6"/>
    <w:rsid w:val="1EAB0F03"/>
    <w:rsid w:val="1EC04283"/>
    <w:rsid w:val="1ED26847"/>
    <w:rsid w:val="1ED63AA6"/>
    <w:rsid w:val="1EED151B"/>
    <w:rsid w:val="1F080A89"/>
    <w:rsid w:val="1F176598"/>
    <w:rsid w:val="1F1A7E37"/>
    <w:rsid w:val="1F211410"/>
    <w:rsid w:val="1F222D29"/>
    <w:rsid w:val="1F3B789A"/>
    <w:rsid w:val="1F41655B"/>
    <w:rsid w:val="1F4C145E"/>
    <w:rsid w:val="1F5275D0"/>
    <w:rsid w:val="1F7237CF"/>
    <w:rsid w:val="1F890B18"/>
    <w:rsid w:val="1F9A0F77"/>
    <w:rsid w:val="1FA37695"/>
    <w:rsid w:val="1FBE4C66"/>
    <w:rsid w:val="1FCE2663"/>
    <w:rsid w:val="1FD04999"/>
    <w:rsid w:val="1FD5582B"/>
    <w:rsid w:val="1FE35CB2"/>
    <w:rsid w:val="1FF71F26"/>
    <w:rsid w:val="200563F1"/>
    <w:rsid w:val="20344F28"/>
    <w:rsid w:val="204333BD"/>
    <w:rsid w:val="20482782"/>
    <w:rsid w:val="204D5FEA"/>
    <w:rsid w:val="205D447F"/>
    <w:rsid w:val="206C46C2"/>
    <w:rsid w:val="207140DC"/>
    <w:rsid w:val="2080016D"/>
    <w:rsid w:val="208E4638"/>
    <w:rsid w:val="2091237A"/>
    <w:rsid w:val="20987265"/>
    <w:rsid w:val="20A91472"/>
    <w:rsid w:val="20B07BF0"/>
    <w:rsid w:val="20DB35F6"/>
    <w:rsid w:val="20DD111C"/>
    <w:rsid w:val="20EE6A13"/>
    <w:rsid w:val="20F14BC7"/>
    <w:rsid w:val="21171D51"/>
    <w:rsid w:val="211A411E"/>
    <w:rsid w:val="213276BA"/>
    <w:rsid w:val="21336655"/>
    <w:rsid w:val="213D7E0C"/>
    <w:rsid w:val="214D40AF"/>
    <w:rsid w:val="21750BA0"/>
    <w:rsid w:val="21815D0A"/>
    <w:rsid w:val="218D48F0"/>
    <w:rsid w:val="219C0FD7"/>
    <w:rsid w:val="21B069DD"/>
    <w:rsid w:val="21C85928"/>
    <w:rsid w:val="21F67990"/>
    <w:rsid w:val="21FB3F4F"/>
    <w:rsid w:val="220D2D23"/>
    <w:rsid w:val="220D5A31"/>
    <w:rsid w:val="222223AA"/>
    <w:rsid w:val="22227687"/>
    <w:rsid w:val="223F4E70"/>
    <w:rsid w:val="22482F0D"/>
    <w:rsid w:val="224A0A33"/>
    <w:rsid w:val="224D0523"/>
    <w:rsid w:val="225639C9"/>
    <w:rsid w:val="22614F3C"/>
    <w:rsid w:val="227B5090"/>
    <w:rsid w:val="229972C4"/>
    <w:rsid w:val="229A37A4"/>
    <w:rsid w:val="22A00653"/>
    <w:rsid w:val="22A24272"/>
    <w:rsid w:val="22B20386"/>
    <w:rsid w:val="22E2743E"/>
    <w:rsid w:val="22EE7610"/>
    <w:rsid w:val="22F64717"/>
    <w:rsid w:val="22FD7853"/>
    <w:rsid w:val="230A054B"/>
    <w:rsid w:val="23151418"/>
    <w:rsid w:val="23166B67"/>
    <w:rsid w:val="231B23CF"/>
    <w:rsid w:val="233F2A5E"/>
    <w:rsid w:val="234731C4"/>
    <w:rsid w:val="23476D20"/>
    <w:rsid w:val="235B7B07"/>
    <w:rsid w:val="23843AD1"/>
    <w:rsid w:val="23AE55BC"/>
    <w:rsid w:val="23DA5DE6"/>
    <w:rsid w:val="23E66539"/>
    <w:rsid w:val="23EA427B"/>
    <w:rsid w:val="23F0560A"/>
    <w:rsid w:val="23F55B66"/>
    <w:rsid w:val="23F724F4"/>
    <w:rsid w:val="24172B97"/>
    <w:rsid w:val="24284DA4"/>
    <w:rsid w:val="24374FE7"/>
    <w:rsid w:val="245E2574"/>
    <w:rsid w:val="246102B6"/>
    <w:rsid w:val="246E3DB3"/>
    <w:rsid w:val="24712DF5"/>
    <w:rsid w:val="24763D61"/>
    <w:rsid w:val="247E2C16"/>
    <w:rsid w:val="24831F80"/>
    <w:rsid w:val="248875F1"/>
    <w:rsid w:val="249935AC"/>
    <w:rsid w:val="249A74E6"/>
    <w:rsid w:val="24AE7C47"/>
    <w:rsid w:val="24B403E6"/>
    <w:rsid w:val="24BB1774"/>
    <w:rsid w:val="24BB3676"/>
    <w:rsid w:val="24BE55DE"/>
    <w:rsid w:val="24C84F99"/>
    <w:rsid w:val="24D32F62"/>
    <w:rsid w:val="24DD793C"/>
    <w:rsid w:val="24F133E8"/>
    <w:rsid w:val="24F353B2"/>
    <w:rsid w:val="25002D7C"/>
    <w:rsid w:val="250A239A"/>
    <w:rsid w:val="250E5D48"/>
    <w:rsid w:val="251516C0"/>
    <w:rsid w:val="25166455"/>
    <w:rsid w:val="251E1D03"/>
    <w:rsid w:val="25214A81"/>
    <w:rsid w:val="252217F3"/>
    <w:rsid w:val="252B4B4C"/>
    <w:rsid w:val="253D4222"/>
    <w:rsid w:val="255900BA"/>
    <w:rsid w:val="256B0A86"/>
    <w:rsid w:val="258204E4"/>
    <w:rsid w:val="258A1146"/>
    <w:rsid w:val="25987D07"/>
    <w:rsid w:val="259A582D"/>
    <w:rsid w:val="25A246E2"/>
    <w:rsid w:val="25CB3C39"/>
    <w:rsid w:val="25D32AED"/>
    <w:rsid w:val="25D832ED"/>
    <w:rsid w:val="25F018F1"/>
    <w:rsid w:val="25FD1756"/>
    <w:rsid w:val="26041B76"/>
    <w:rsid w:val="2605432E"/>
    <w:rsid w:val="2610694C"/>
    <w:rsid w:val="26170C2C"/>
    <w:rsid w:val="261C66B1"/>
    <w:rsid w:val="264A7253"/>
    <w:rsid w:val="267E514F"/>
    <w:rsid w:val="267F6DC4"/>
    <w:rsid w:val="2681079B"/>
    <w:rsid w:val="268A07BD"/>
    <w:rsid w:val="268A7650"/>
    <w:rsid w:val="269B7AAF"/>
    <w:rsid w:val="269F0C21"/>
    <w:rsid w:val="26B56DCF"/>
    <w:rsid w:val="26C07516"/>
    <w:rsid w:val="26C210FB"/>
    <w:rsid w:val="26DC08B6"/>
    <w:rsid w:val="26DD3360"/>
    <w:rsid w:val="26FE3B9A"/>
    <w:rsid w:val="270F5DA7"/>
    <w:rsid w:val="272E0129"/>
    <w:rsid w:val="27356DEA"/>
    <w:rsid w:val="273D1AD3"/>
    <w:rsid w:val="2743379E"/>
    <w:rsid w:val="276500BD"/>
    <w:rsid w:val="27714608"/>
    <w:rsid w:val="2772524E"/>
    <w:rsid w:val="27734588"/>
    <w:rsid w:val="278F0C96"/>
    <w:rsid w:val="27A73315"/>
    <w:rsid w:val="27AA0124"/>
    <w:rsid w:val="27B506FD"/>
    <w:rsid w:val="27B610FF"/>
    <w:rsid w:val="27C76682"/>
    <w:rsid w:val="27CE5E8F"/>
    <w:rsid w:val="27CE7A10"/>
    <w:rsid w:val="27DC77A2"/>
    <w:rsid w:val="27F21CAC"/>
    <w:rsid w:val="27FC27CF"/>
    <w:rsid w:val="280B47C0"/>
    <w:rsid w:val="280D411B"/>
    <w:rsid w:val="28163210"/>
    <w:rsid w:val="281F026C"/>
    <w:rsid w:val="28247680"/>
    <w:rsid w:val="28263A1C"/>
    <w:rsid w:val="282F2844"/>
    <w:rsid w:val="28321D4D"/>
    <w:rsid w:val="283756B5"/>
    <w:rsid w:val="28575C58"/>
    <w:rsid w:val="286C4793"/>
    <w:rsid w:val="287560DE"/>
    <w:rsid w:val="28814A83"/>
    <w:rsid w:val="28B97223"/>
    <w:rsid w:val="28C64B8B"/>
    <w:rsid w:val="28CA01D8"/>
    <w:rsid w:val="28E55011"/>
    <w:rsid w:val="28E82D54"/>
    <w:rsid w:val="28EC2844"/>
    <w:rsid w:val="28FF13EE"/>
    <w:rsid w:val="290A2CCA"/>
    <w:rsid w:val="291311F5"/>
    <w:rsid w:val="291458F7"/>
    <w:rsid w:val="2916341D"/>
    <w:rsid w:val="2920678A"/>
    <w:rsid w:val="29345F99"/>
    <w:rsid w:val="293665BC"/>
    <w:rsid w:val="2940493E"/>
    <w:rsid w:val="29451F54"/>
    <w:rsid w:val="294A1318"/>
    <w:rsid w:val="294E5677"/>
    <w:rsid w:val="295D729E"/>
    <w:rsid w:val="296C128F"/>
    <w:rsid w:val="29802F8C"/>
    <w:rsid w:val="299F78B6"/>
    <w:rsid w:val="29B03871"/>
    <w:rsid w:val="29D05CC2"/>
    <w:rsid w:val="29E74DB9"/>
    <w:rsid w:val="29E928DF"/>
    <w:rsid w:val="2A0B0AA8"/>
    <w:rsid w:val="2A107221"/>
    <w:rsid w:val="2A110088"/>
    <w:rsid w:val="2A1C5D7B"/>
    <w:rsid w:val="2A3A75DF"/>
    <w:rsid w:val="2A3B7DA2"/>
    <w:rsid w:val="2A3D2C2B"/>
    <w:rsid w:val="2A465F84"/>
    <w:rsid w:val="2A481CFC"/>
    <w:rsid w:val="2A4E308A"/>
    <w:rsid w:val="2A50295E"/>
    <w:rsid w:val="2A5774F7"/>
    <w:rsid w:val="2A5E151F"/>
    <w:rsid w:val="2ABA24CE"/>
    <w:rsid w:val="2ABC6246"/>
    <w:rsid w:val="2AC9098F"/>
    <w:rsid w:val="2AEC2D35"/>
    <w:rsid w:val="2B08765C"/>
    <w:rsid w:val="2B1E480B"/>
    <w:rsid w:val="2B465CF5"/>
    <w:rsid w:val="2B4A1AA4"/>
    <w:rsid w:val="2B4D3342"/>
    <w:rsid w:val="2B5E72FD"/>
    <w:rsid w:val="2B66245D"/>
    <w:rsid w:val="2B88437A"/>
    <w:rsid w:val="2B8D4A10"/>
    <w:rsid w:val="2B8F50B4"/>
    <w:rsid w:val="2B9B0113"/>
    <w:rsid w:val="2BA05CA2"/>
    <w:rsid w:val="2BBB580F"/>
    <w:rsid w:val="2BCC24B9"/>
    <w:rsid w:val="2BCF6C90"/>
    <w:rsid w:val="2BD355F5"/>
    <w:rsid w:val="2BDC3E61"/>
    <w:rsid w:val="2BE21CDC"/>
    <w:rsid w:val="2BEC6CCB"/>
    <w:rsid w:val="2BFE0311"/>
    <w:rsid w:val="2C02237E"/>
    <w:rsid w:val="2C0A4D8F"/>
    <w:rsid w:val="2C1E01A0"/>
    <w:rsid w:val="2C26606D"/>
    <w:rsid w:val="2C35005E"/>
    <w:rsid w:val="2C3A5255"/>
    <w:rsid w:val="2C471B3F"/>
    <w:rsid w:val="2C5E2F93"/>
    <w:rsid w:val="2C722F0F"/>
    <w:rsid w:val="2C7833AA"/>
    <w:rsid w:val="2C7A69D1"/>
    <w:rsid w:val="2C884632"/>
    <w:rsid w:val="2C8A772A"/>
    <w:rsid w:val="2C8B4122"/>
    <w:rsid w:val="2C8D6781"/>
    <w:rsid w:val="2CB573F1"/>
    <w:rsid w:val="2CDE6264"/>
    <w:rsid w:val="2CE130DC"/>
    <w:rsid w:val="2CEC1C40"/>
    <w:rsid w:val="2CED6B8B"/>
    <w:rsid w:val="2CF13919"/>
    <w:rsid w:val="2D1063D5"/>
    <w:rsid w:val="2D1D774E"/>
    <w:rsid w:val="2D3C1AFC"/>
    <w:rsid w:val="2D41526F"/>
    <w:rsid w:val="2D4B38B1"/>
    <w:rsid w:val="2D5108E1"/>
    <w:rsid w:val="2D5E1836"/>
    <w:rsid w:val="2D7A03C5"/>
    <w:rsid w:val="2D971B87"/>
    <w:rsid w:val="2D984D48"/>
    <w:rsid w:val="2D986AF6"/>
    <w:rsid w:val="2DA27975"/>
    <w:rsid w:val="2DA448F5"/>
    <w:rsid w:val="2DA74F8B"/>
    <w:rsid w:val="2DAB7E62"/>
    <w:rsid w:val="2DB75076"/>
    <w:rsid w:val="2DC95FDD"/>
    <w:rsid w:val="2DD81C92"/>
    <w:rsid w:val="2DDF5A78"/>
    <w:rsid w:val="2DE4594B"/>
    <w:rsid w:val="2DEA3C22"/>
    <w:rsid w:val="2DFE0923"/>
    <w:rsid w:val="2E0028ED"/>
    <w:rsid w:val="2E0C1292"/>
    <w:rsid w:val="2E0E33B6"/>
    <w:rsid w:val="2E20089A"/>
    <w:rsid w:val="2E206AEC"/>
    <w:rsid w:val="2E210323"/>
    <w:rsid w:val="2E314855"/>
    <w:rsid w:val="2E3600BD"/>
    <w:rsid w:val="2E3C5781"/>
    <w:rsid w:val="2E456552"/>
    <w:rsid w:val="2E47051C"/>
    <w:rsid w:val="2E50117F"/>
    <w:rsid w:val="2E6452AD"/>
    <w:rsid w:val="2E6A04C0"/>
    <w:rsid w:val="2E6E3CFB"/>
    <w:rsid w:val="2E7B5F75"/>
    <w:rsid w:val="2EAE5EA6"/>
    <w:rsid w:val="2EDD1647"/>
    <w:rsid w:val="2EE144CD"/>
    <w:rsid w:val="2EF46511"/>
    <w:rsid w:val="2EF82764"/>
    <w:rsid w:val="2EFE3058"/>
    <w:rsid w:val="2F012479"/>
    <w:rsid w:val="2F0D661F"/>
    <w:rsid w:val="2F0E0479"/>
    <w:rsid w:val="2F2A296B"/>
    <w:rsid w:val="2F316182"/>
    <w:rsid w:val="2F4F58DB"/>
    <w:rsid w:val="2F6B14B4"/>
    <w:rsid w:val="2F7E3ACA"/>
    <w:rsid w:val="2F827A5E"/>
    <w:rsid w:val="2F8310E0"/>
    <w:rsid w:val="2F8A246F"/>
    <w:rsid w:val="2F947791"/>
    <w:rsid w:val="2F963509"/>
    <w:rsid w:val="2F9949A6"/>
    <w:rsid w:val="2FAC5E0F"/>
    <w:rsid w:val="2FB219C5"/>
    <w:rsid w:val="2FBE55AC"/>
    <w:rsid w:val="2FC735B6"/>
    <w:rsid w:val="2FD14541"/>
    <w:rsid w:val="2FE42CDE"/>
    <w:rsid w:val="30000983"/>
    <w:rsid w:val="302F5020"/>
    <w:rsid w:val="30330D58"/>
    <w:rsid w:val="3034687E"/>
    <w:rsid w:val="30371B31"/>
    <w:rsid w:val="304B6B71"/>
    <w:rsid w:val="304C4712"/>
    <w:rsid w:val="304D6EE1"/>
    <w:rsid w:val="30540CC4"/>
    <w:rsid w:val="30593677"/>
    <w:rsid w:val="30604B42"/>
    <w:rsid w:val="307551E0"/>
    <w:rsid w:val="307A6987"/>
    <w:rsid w:val="308B46F0"/>
    <w:rsid w:val="3093409E"/>
    <w:rsid w:val="30B17ECF"/>
    <w:rsid w:val="30B20761"/>
    <w:rsid w:val="30BA2575"/>
    <w:rsid w:val="30C70FBE"/>
    <w:rsid w:val="30CB0F91"/>
    <w:rsid w:val="30CE282F"/>
    <w:rsid w:val="30D140CD"/>
    <w:rsid w:val="30D37E45"/>
    <w:rsid w:val="30D613A0"/>
    <w:rsid w:val="30FD4EC2"/>
    <w:rsid w:val="310B3A83"/>
    <w:rsid w:val="3120277A"/>
    <w:rsid w:val="312863E3"/>
    <w:rsid w:val="313308E4"/>
    <w:rsid w:val="3140197F"/>
    <w:rsid w:val="31480833"/>
    <w:rsid w:val="314C75BB"/>
    <w:rsid w:val="31633A6D"/>
    <w:rsid w:val="31651042"/>
    <w:rsid w:val="31674612"/>
    <w:rsid w:val="316E7B6E"/>
    <w:rsid w:val="31752FDE"/>
    <w:rsid w:val="3177311C"/>
    <w:rsid w:val="31A35847"/>
    <w:rsid w:val="31AC2673"/>
    <w:rsid w:val="31DC0F7C"/>
    <w:rsid w:val="31EF5153"/>
    <w:rsid w:val="31EF67E2"/>
    <w:rsid w:val="31FA0957"/>
    <w:rsid w:val="320F0B96"/>
    <w:rsid w:val="321D3A6E"/>
    <w:rsid w:val="322070BA"/>
    <w:rsid w:val="32427031"/>
    <w:rsid w:val="32463124"/>
    <w:rsid w:val="325421CB"/>
    <w:rsid w:val="32582CF8"/>
    <w:rsid w:val="32622CBE"/>
    <w:rsid w:val="3266397B"/>
    <w:rsid w:val="326B46A5"/>
    <w:rsid w:val="32962B55"/>
    <w:rsid w:val="32994859"/>
    <w:rsid w:val="329B0E37"/>
    <w:rsid w:val="329B3363"/>
    <w:rsid w:val="329E241C"/>
    <w:rsid w:val="32A44F54"/>
    <w:rsid w:val="32A777DC"/>
    <w:rsid w:val="32B76E81"/>
    <w:rsid w:val="32B87886"/>
    <w:rsid w:val="32C2554C"/>
    <w:rsid w:val="32DF3932"/>
    <w:rsid w:val="32F26CA9"/>
    <w:rsid w:val="32F33DBC"/>
    <w:rsid w:val="32FC18D5"/>
    <w:rsid w:val="33087DBE"/>
    <w:rsid w:val="33093FF2"/>
    <w:rsid w:val="331309CD"/>
    <w:rsid w:val="331F3816"/>
    <w:rsid w:val="33261348"/>
    <w:rsid w:val="3349755B"/>
    <w:rsid w:val="334B0167"/>
    <w:rsid w:val="334B63B9"/>
    <w:rsid w:val="334D0383"/>
    <w:rsid w:val="33565A57"/>
    <w:rsid w:val="33591DDA"/>
    <w:rsid w:val="335C27F8"/>
    <w:rsid w:val="33633703"/>
    <w:rsid w:val="337E22EA"/>
    <w:rsid w:val="338302FF"/>
    <w:rsid w:val="33857292"/>
    <w:rsid w:val="339578F6"/>
    <w:rsid w:val="33A46E93"/>
    <w:rsid w:val="33C36048"/>
    <w:rsid w:val="33C75794"/>
    <w:rsid w:val="33D20888"/>
    <w:rsid w:val="33D77C4D"/>
    <w:rsid w:val="33DB4D01"/>
    <w:rsid w:val="33EB0AD0"/>
    <w:rsid w:val="340E6DF2"/>
    <w:rsid w:val="34192013"/>
    <w:rsid w:val="341D7D55"/>
    <w:rsid w:val="3422536C"/>
    <w:rsid w:val="34345A2C"/>
    <w:rsid w:val="34381C5E"/>
    <w:rsid w:val="343E2A55"/>
    <w:rsid w:val="347656B7"/>
    <w:rsid w:val="348B1120"/>
    <w:rsid w:val="348D48D0"/>
    <w:rsid w:val="349047F7"/>
    <w:rsid w:val="34AC10D9"/>
    <w:rsid w:val="34AC4388"/>
    <w:rsid w:val="34B46493"/>
    <w:rsid w:val="34CC3529"/>
    <w:rsid w:val="34D35A9F"/>
    <w:rsid w:val="34DA3990"/>
    <w:rsid w:val="34F34F5A"/>
    <w:rsid w:val="34F8320E"/>
    <w:rsid w:val="3502519D"/>
    <w:rsid w:val="35156C7E"/>
    <w:rsid w:val="352275ED"/>
    <w:rsid w:val="35245113"/>
    <w:rsid w:val="3546484B"/>
    <w:rsid w:val="355359F9"/>
    <w:rsid w:val="355E2212"/>
    <w:rsid w:val="357E0CC8"/>
    <w:rsid w:val="358B0CEF"/>
    <w:rsid w:val="3590495C"/>
    <w:rsid w:val="359522EB"/>
    <w:rsid w:val="35A27EC6"/>
    <w:rsid w:val="35BB19C0"/>
    <w:rsid w:val="35C002C4"/>
    <w:rsid w:val="35C42453"/>
    <w:rsid w:val="35CB558F"/>
    <w:rsid w:val="35D2691D"/>
    <w:rsid w:val="35D42696"/>
    <w:rsid w:val="35D501BC"/>
    <w:rsid w:val="35DB7EC8"/>
    <w:rsid w:val="35E44B3A"/>
    <w:rsid w:val="35EE171D"/>
    <w:rsid w:val="35FA7C22"/>
    <w:rsid w:val="35FF5FD9"/>
    <w:rsid w:val="360208A7"/>
    <w:rsid w:val="36101BE0"/>
    <w:rsid w:val="361A5A2B"/>
    <w:rsid w:val="36297FEC"/>
    <w:rsid w:val="362B4280"/>
    <w:rsid w:val="36301896"/>
    <w:rsid w:val="3634782F"/>
    <w:rsid w:val="36421CF5"/>
    <w:rsid w:val="364618DA"/>
    <w:rsid w:val="36462E68"/>
    <w:rsid w:val="3664193A"/>
    <w:rsid w:val="36685B59"/>
    <w:rsid w:val="366C0E45"/>
    <w:rsid w:val="366F0610"/>
    <w:rsid w:val="367C15FD"/>
    <w:rsid w:val="368D6CE8"/>
    <w:rsid w:val="36C4095C"/>
    <w:rsid w:val="36C92D43"/>
    <w:rsid w:val="36D500B5"/>
    <w:rsid w:val="36E44B5A"/>
    <w:rsid w:val="36E602DD"/>
    <w:rsid w:val="36EE64CB"/>
    <w:rsid w:val="370055E2"/>
    <w:rsid w:val="37065840"/>
    <w:rsid w:val="371D1E1A"/>
    <w:rsid w:val="371D3482"/>
    <w:rsid w:val="371D5E6B"/>
    <w:rsid w:val="372313B1"/>
    <w:rsid w:val="37411FAD"/>
    <w:rsid w:val="374455F9"/>
    <w:rsid w:val="37490E61"/>
    <w:rsid w:val="374B1C54"/>
    <w:rsid w:val="375601B8"/>
    <w:rsid w:val="376932B2"/>
    <w:rsid w:val="377A54BF"/>
    <w:rsid w:val="378833DE"/>
    <w:rsid w:val="378974B0"/>
    <w:rsid w:val="37977C07"/>
    <w:rsid w:val="37CB7AC8"/>
    <w:rsid w:val="37CC52D1"/>
    <w:rsid w:val="37E128C3"/>
    <w:rsid w:val="37E343DF"/>
    <w:rsid w:val="37EC6610"/>
    <w:rsid w:val="37F324E9"/>
    <w:rsid w:val="380F26AF"/>
    <w:rsid w:val="381229FC"/>
    <w:rsid w:val="38201F82"/>
    <w:rsid w:val="38336DB9"/>
    <w:rsid w:val="3842549E"/>
    <w:rsid w:val="384E7D53"/>
    <w:rsid w:val="386A108F"/>
    <w:rsid w:val="387719FE"/>
    <w:rsid w:val="38852DC7"/>
    <w:rsid w:val="388A28D7"/>
    <w:rsid w:val="389205E6"/>
    <w:rsid w:val="38A81BB8"/>
    <w:rsid w:val="38A84119"/>
    <w:rsid w:val="38B60778"/>
    <w:rsid w:val="38BF587F"/>
    <w:rsid w:val="38CA4224"/>
    <w:rsid w:val="38CF1D54"/>
    <w:rsid w:val="38D35896"/>
    <w:rsid w:val="38E70932"/>
    <w:rsid w:val="38E86810"/>
    <w:rsid w:val="38EB2F94"/>
    <w:rsid w:val="38ED746E"/>
    <w:rsid w:val="38F54312"/>
    <w:rsid w:val="39001DF2"/>
    <w:rsid w:val="391074A4"/>
    <w:rsid w:val="3914585B"/>
    <w:rsid w:val="391F631E"/>
    <w:rsid w:val="39273424"/>
    <w:rsid w:val="392D6043"/>
    <w:rsid w:val="392E0C06"/>
    <w:rsid w:val="39385333"/>
    <w:rsid w:val="39424B74"/>
    <w:rsid w:val="39777F08"/>
    <w:rsid w:val="39807457"/>
    <w:rsid w:val="39932868"/>
    <w:rsid w:val="399A33E8"/>
    <w:rsid w:val="399F745E"/>
    <w:rsid w:val="39A162AC"/>
    <w:rsid w:val="39B100EE"/>
    <w:rsid w:val="39B4745E"/>
    <w:rsid w:val="39B90520"/>
    <w:rsid w:val="39BF540B"/>
    <w:rsid w:val="39C918D0"/>
    <w:rsid w:val="39CF48CB"/>
    <w:rsid w:val="39D32C64"/>
    <w:rsid w:val="39D4535A"/>
    <w:rsid w:val="39E12E4C"/>
    <w:rsid w:val="39E66E3B"/>
    <w:rsid w:val="39E82BB3"/>
    <w:rsid w:val="39ED01CA"/>
    <w:rsid w:val="39F01A68"/>
    <w:rsid w:val="39FE5795"/>
    <w:rsid w:val="3A064DE8"/>
    <w:rsid w:val="3A1439A9"/>
    <w:rsid w:val="3A2A31CC"/>
    <w:rsid w:val="3A334E5D"/>
    <w:rsid w:val="3A7262AF"/>
    <w:rsid w:val="3A7563BD"/>
    <w:rsid w:val="3A7C6B1B"/>
    <w:rsid w:val="3A8E336A"/>
    <w:rsid w:val="3A9F5C5A"/>
    <w:rsid w:val="3AA23AC4"/>
    <w:rsid w:val="3ABE3914"/>
    <w:rsid w:val="3ACF5B21"/>
    <w:rsid w:val="3AD1189A"/>
    <w:rsid w:val="3AD13648"/>
    <w:rsid w:val="3ADB2718"/>
    <w:rsid w:val="3AF631F5"/>
    <w:rsid w:val="3B021A53"/>
    <w:rsid w:val="3B091033"/>
    <w:rsid w:val="3B097226"/>
    <w:rsid w:val="3B0F5F1E"/>
    <w:rsid w:val="3B152F92"/>
    <w:rsid w:val="3B2D7EE7"/>
    <w:rsid w:val="3B2F47C1"/>
    <w:rsid w:val="3B312338"/>
    <w:rsid w:val="3B3B0A01"/>
    <w:rsid w:val="3B3B4F65"/>
    <w:rsid w:val="3B3D2A8B"/>
    <w:rsid w:val="3B47390A"/>
    <w:rsid w:val="3B4C7172"/>
    <w:rsid w:val="3B5618BA"/>
    <w:rsid w:val="3B561D9F"/>
    <w:rsid w:val="3B6E7AE7"/>
    <w:rsid w:val="3BA71957"/>
    <w:rsid w:val="3BB01B36"/>
    <w:rsid w:val="3BB6021E"/>
    <w:rsid w:val="3BC9431F"/>
    <w:rsid w:val="3BD31641"/>
    <w:rsid w:val="3BD333EF"/>
    <w:rsid w:val="3BD64B58"/>
    <w:rsid w:val="3BD94167"/>
    <w:rsid w:val="3BE253E0"/>
    <w:rsid w:val="3BEB24E7"/>
    <w:rsid w:val="3C105B20"/>
    <w:rsid w:val="3C1557B6"/>
    <w:rsid w:val="3C1D466B"/>
    <w:rsid w:val="3C520F67"/>
    <w:rsid w:val="3C553E04"/>
    <w:rsid w:val="3C6504EB"/>
    <w:rsid w:val="3C6A6406"/>
    <w:rsid w:val="3C7544A7"/>
    <w:rsid w:val="3C7C5835"/>
    <w:rsid w:val="3C7F0E81"/>
    <w:rsid w:val="3C805325"/>
    <w:rsid w:val="3C85293C"/>
    <w:rsid w:val="3C8676F4"/>
    <w:rsid w:val="3C88242C"/>
    <w:rsid w:val="3C925059"/>
    <w:rsid w:val="3C9355F9"/>
    <w:rsid w:val="3C997383"/>
    <w:rsid w:val="3CA371C7"/>
    <w:rsid w:val="3CAE0392"/>
    <w:rsid w:val="3CB054DF"/>
    <w:rsid w:val="3CB23005"/>
    <w:rsid w:val="3CCC0A6E"/>
    <w:rsid w:val="3CD63197"/>
    <w:rsid w:val="3CEA26B3"/>
    <w:rsid w:val="3CEA6C43"/>
    <w:rsid w:val="3D197528"/>
    <w:rsid w:val="3D1A7AF8"/>
    <w:rsid w:val="3D2A7B7D"/>
    <w:rsid w:val="3D371873"/>
    <w:rsid w:val="3D4F4CF8"/>
    <w:rsid w:val="3D5751DB"/>
    <w:rsid w:val="3D6A7D83"/>
    <w:rsid w:val="3D7D7AB7"/>
    <w:rsid w:val="3D8E0E1C"/>
    <w:rsid w:val="3D913562"/>
    <w:rsid w:val="3D967A29"/>
    <w:rsid w:val="3D9A6A5F"/>
    <w:rsid w:val="3DA70690"/>
    <w:rsid w:val="3DBD51AC"/>
    <w:rsid w:val="3DD41776"/>
    <w:rsid w:val="3DD75419"/>
    <w:rsid w:val="3DE10046"/>
    <w:rsid w:val="3DE37306"/>
    <w:rsid w:val="3DE6565C"/>
    <w:rsid w:val="3DF17B5D"/>
    <w:rsid w:val="3DFB6F0D"/>
    <w:rsid w:val="3E112B03"/>
    <w:rsid w:val="3E1C2E2C"/>
    <w:rsid w:val="3E2B12C1"/>
    <w:rsid w:val="3E2E2B5F"/>
    <w:rsid w:val="3E52684D"/>
    <w:rsid w:val="3E5E18CB"/>
    <w:rsid w:val="3E751DF1"/>
    <w:rsid w:val="3E865B69"/>
    <w:rsid w:val="3E924B09"/>
    <w:rsid w:val="3E9A6446"/>
    <w:rsid w:val="3E9C21BE"/>
    <w:rsid w:val="3EAB0654"/>
    <w:rsid w:val="3EB56DDC"/>
    <w:rsid w:val="3EBD2455"/>
    <w:rsid w:val="3EBF7C5B"/>
    <w:rsid w:val="3ECC1EF6"/>
    <w:rsid w:val="3EE80F60"/>
    <w:rsid w:val="3EE84038"/>
    <w:rsid w:val="3EEC522C"/>
    <w:rsid w:val="3EED47C8"/>
    <w:rsid w:val="3EEF6792"/>
    <w:rsid w:val="3EFF4E05"/>
    <w:rsid w:val="3F297CFD"/>
    <w:rsid w:val="3F475C17"/>
    <w:rsid w:val="3F4A5777"/>
    <w:rsid w:val="3F4F5483"/>
    <w:rsid w:val="3F516B05"/>
    <w:rsid w:val="3F632CDC"/>
    <w:rsid w:val="3F76656C"/>
    <w:rsid w:val="3F7C275B"/>
    <w:rsid w:val="3F966C0E"/>
    <w:rsid w:val="3FC512A1"/>
    <w:rsid w:val="3FD140EA"/>
    <w:rsid w:val="3FD5617F"/>
    <w:rsid w:val="3FE0432D"/>
    <w:rsid w:val="3FE136E3"/>
    <w:rsid w:val="3FE4169F"/>
    <w:rsid w:val="3FFA719D"/>
    <w:rsid w:val="40041D9C"/>
    <w:rsid w:val="401B6F39"/>
    <w:rsid w:val="402204A1"/>
    <w:rsid w:val="40284794"/>
    <w:rsid w:val="4035742B"/>
    <w:rsid w:val="40401F58"/>
    <w:rsid w:val="40407B59"/>
    <w:rsid w:val="404A2BAC"/>
    <w:rsid w:val="407B6910"/>
    <w:rsid w:val="408214B8"/>
    <w:rsid w:val="40833636"/>
    <w:rsid w:val="40907B01"/>
    <w:rsid w:val="40953369"/>
    <w:rsid w:val="409F2385"/>
    <w:rsid w:val="40AF2F16"/>
    <w:rsid w:val="40B34FA3"/>
    <w:rsid w:val="40B90E06"/>
    <w:rsid w:val="40F40090"/>
    <w:rsid w:val="40FA4F7A"/>
    <w:rsid w:val="40FE0F0E"/>
    <w:rsid w:val="4100472E"/>
    <w:rsid w:val="410C0680"/>
    <w:rsid w:val="41197AF6"/>
    <w:rsid w:val="411F1165"/>
    <w:rsid w:val="41432DC5"/>
    <w:rsid w:val="41483F38"/>
    <w:rsid w:val="415A332C"/>
    <w:rsid w:val="41642F23"/>
    <w:rsid w:val="41874A60"/>
    <w:rsid w:val="418D4040"/>
    <w:rsid w:val="41A41BF8"/>
    <w:rsid w:val="41A61108"/>
    <w:rsid w:val="41A96E81"/>
    <w:rsid w:val="41B47B40"/>
    <w:rsid w:val="41B82E6B"/>
    <w:rsid w:val="41BD2B78"/>
    <w:rsid w:val="41D32B4F"/>
    <w:rsid w:val="41DD0220"/>
    <w:rsid w:val="41E225DE"/>
    <w:rsid w:val="41FE1E71"/>
    <w:rsid w:val="42097B6B"/>
    <w:rsid w:val="420F003F"/>
    <w:rsid w:val="421A1D78"/>
    <w:rsid w:val="422E137F"/>
    <w:rsid w:val="422E75D1"/>
    <w:rsid w:val="42507548"/>
    <w:rsid w:val="426E79CE"/>
    <w:rsid w:val="427174BE"/>
    <w:rsid w:val="427263C7"/>
    <w:rsid w:val="42770F78"/>
    <w:rsid w:val="42A86A79"/>
    <w:rsid w:val="42AE426E"/>
    <w:rsid w:val="42B86E9B"/>
    <w:rsid w:val="42BE0955"/>
    <w:rsid w:val="42CF7BA4"/>
    <w:rsid w:val="42E14644"/>
    <w:rsid w:val="42E236F5"/>
    <w:rsid w:val="42ED62D3"/>
    <w:rsid w:val="42ED757D"/>
    <w:rsid w:val="42F337AA"/>
    <w:rsid w:val="42FE7CB6"/>
    <w:rsid w:val="430A1E0F"/>
    <w:rsid w:val="430D5D3C"/>
    <w:rsid w:val="43104F29"/>
    <w:rsid w:val="4315434D"/>
    <w:rsid w:val="43413334"/>
    <w:rsid w:val="43505326"/>
    <w:rsid w:val="43527EF3"/>
    <w:rsid w:val="43563C6E"/>
    <w:rsid w:val="4364087F"/>
    <w:rsid w:val="438F22F2"/>
    <w:rsid w:val="4392593E"/>
    <w:rsid w:val="43A062AD"/>
    <w:rsid w:val="43A4686F"/>
    <w:rsid w:val="43AA712C"/>
    <w:rsid w:val="43AD12F0"/>
    <w:rsid w:val="43AD4526"/>
    <w:rsid w:val="43AF029E"/>
    <w:rsid w:val="43C26D95"/>
    <w:rsid w:val="43CF26EE"/>
    <w:rsid w:val="43EE000A"/>
    <w:rsid w:val="44000AFA"/>
    <w:rsid w:val="44004F9E"/>
    <w:rsid w:val="440E7AB1"/>
    <w:rsid w:val="441A7E0D"/>
    <w:rsid w:val="44205EE9"/>
    <w:rsid w:val="44232053"/>
    <w:rsid w:val="442A5B77"/>
    <w:rsid w:val="442C2BFD"/>
    <w:rsid w:val="443133A9"/>
    <w:rsid w:val="4456696C"/>
    <w:rsid w:val="447070F7"/>
    <w:rsid w:val="44784B34"/>
    <w:rsid w:val="447E2FB1"/>
    <w:rsid w:val="4493196E"/>
    <w:rsid w:val="44B46A01"/>
    <w:rsid w:val="44B71B00"/>
    <w:rsid w:val="44BA15F0"/>
    <w:rsid w:val="44D0697F"/>
    <w:rsid w:val="44F51AA1"/>
    <w:rsid w:val="44F85C75"/>
    <w:rsid w:val="45124F88"/>
    <w:rsid w:val="451756C7"/>
    <w:rsid w:val="45237196"/>
    <w:rsid w:val="45264590"/>
    <w:rsid w:val="45637458"/>
    <w:rsid w:val="4588349D"/>
    <w:rsid w:val="458D0AB3"/>
    <w:rsid w:val="458D3633"/>
    <w:rsid w:val="45933B89"/>
    <w:rsid w:val="45991206"/>
    <w:rsid w:val="459C565C"/>
    <w:rsid w:val="45D4223E"/>
    <w:rsid w:val="45DD3306"/>
    <w:rsid w:val="45E27675"/>
    <w:rsid w:val="45E32481"/>
    <w:rsid w:val="45EC57D9"/>
    <w:rsid w:val="461868E3"/>
    <w:rsid w:val="461A7F93"/>
    <w:rsid w:val="462211FB"/>
    <w:rsid w:val="463D02E0"/>
    <w:rsid w:val="46400BBF"/>
    <w:rsid w:val="46441765"/>
    <w:rsid w:val="46460CF9"/>
    <w:rsid w:val="46463B7A"/>
    <w:rsid w:val="466726B7"/>
    <w:rsid w:val="466F11C7"/>
    <w:rsid w:val="467001B9"/>
    <w:rsid w:val="4670640B"/>
    <w:rsid w:val="467A2DE5"/>
    <w:rsid w:val="468D39EA"/>
    <w:rsid w:val="46A55988"/>
    <w:rsid w:val="46AD7810"/>
    <w:rsid w:val="46CF36A7"/>
    <w:rsid w:val="46F15E80"/>
    <w:rsid w:val="46F32B98"/>
    <w:rsid w:val="47017063"/>
    <w:rsid w:val="4707219F"/>
    <w:rsid w:val="470D3C59"/>
    <w:rsid w:val="47123CE1"/>
    <w:rsid w:val="471A0124"/>
    <w:rsid w:val="471D2945"/>
    <w:rsid w:val="47213261"/>
    <w:rsid w:val="472307F4"/>
    <w:rsid w:val="47264D1B"/>
    <w:rsid w:val="472C23A2"/>
    <w:rsid w:val="474B6FAD"/>
    <w:rsid w:val="474F3279"/>
    <w:rsid w:val="47543E89"/>
    <w:rsid w:val="47615D53"/>
    <w:rsid w:val="47637D1D"/>
    <w:rsid w:val="476F3C10"/>
    <w:rsid w:val="477C090E"/>
    <w:rsid w:val="478A7058"/>
    <w:rsid w:val="478F466E"/>
    <w:rsid w:val="479F062A"/>
    <w:rsid w:val="47A3636C"/>
    <w:rsid w:val="47BB76C5"/>
    <w:rsid w:val="47BC11DC"/>
    <w:rsid w:val="47C86855"/>
    <w:rsid w:val="47CA06B4"/>
    <w:rsid w:val="47E60DC9"/>
    <w:rsid w:val="47E82066"/>
    <w:rsid w:val="47EA7AF7"/>
    <w:rsid w:val="47EE66D8"/>
    <w:rsid w:val="48001F45"/>
    <w:rsid w:val="480F17F3"/>
    <w:rsid w:val="481639B1"/>
    <w:rsid w:val="481C5974"/>
    <w:rsid w:val="483B3667"/>
    <w:rsid w:val="48474B8F"/>
    <w:rsid w:val="48482A6F"/>
    <w:rsid w:val="484D0DB1"/>
    <w:rsid w:val="484E5E5B"/>
    <w:rsid w:val="485222E4"/>
    <w:rsid w:val="48561790"/>
    <w:rsid w:val="485C3F8A"/>
    <w:rsid w:val="486A0C38"/>
    <w:rsid w:val="486A4047"/>
    <w:rsid w:val="486F1DBE"/>
    <w:rsid w:val="487D6BBD"/>
    <w:rsid w:val="48831CF9"/>
    <w:rsid w:val="489363E0"/>
    <w:rsid w:val="48945CB4"/>
    <w:rsid w:val="48994F7D"/>
    <w:rsid w:val="48996942"/>
    <w:rsid w:val="48BC0576"/>
    <w:rsid w:val="48BC5937"/>
    <w:rsid w:val="48D6283F"/>
    <w:rsid w:val="48F84495"/>
    <w:rsid w:val="48FD1B93"/>
    <w:rsid w:val="49042E3A"/>
    <w:rsid w:val="4908149D"/>
    <w:rsid w:val="492928A1"/>
    <w:rsid w:val="492D2391"/>
    <w:rsid w:val="49376B8A"/>
    <w:rsid w:val="493A4AAE"/>
    <w:rsid w:val="49492F43"/>
    <w:rsid w:val="49495B74"/>
    <w:rsid w:val="494B2817"/>
    <w:rsid w:val="49724248"/>
    <w:rsid w:val="497955D6"/>
    <w:rsid w:val="49836455"/>
    <w:rsid w:val="49912347"/>
    <w:rsid w:val="49945CF4"/>
    <w:rsid w:val="49B02FC2"/>
    <w:rsid w:val="49B06B1E"/>
    <w:rsid w:val="49B22896"/>
    <w:rsid w:val="49B83FC7"/>
    <w:rsid w:val="49BB5BEF"/>
    <w:rsid w:val="49D722FD"/>
    <w:rsid w:val="49D84A41"/>
    <w:rsid w:val="49FB423D"/>
    <w:rsid w:val="4A0B1FA6"/>
    <w:rsid w:val="4A0F5F3A"/>
    <w:rsid w:val="4A2C089A"/>
    <w:rsid w:val="4A4D67E0"/>
    <w:rsid w:val="4A5B4FE6"/>
    <w:rsid w:val="4A67100A"/>
    <w:rsid w:val="4A6C513B"/>
    <w:rsid w:val="4A7706DB"/>
    <w:rsid w:val="4A872075"/>
    <w:rsid w:val="4A873D23"/>
    <w:rsid w:val="4A895CED"/>
    <w:rsid w:val="4A8E3303"/>
    <w:rsid w:val="4A9A1CA8"/>
    <w:rsid w:val="4AB443EC"/>
    <w:rsid w:val="4ABB39CC"/>
    <w:rsid w:val="4ADA20A4"/>
    <w:rsid w:val="4AEE3DA2"/>
    <w:rsid w:val="4AF55130"/>
    <w:rsid w:val="4AF64A04"/>
    <w:rsid w:val="4AFF5FAF"/>
    <w:rsid w:val="4B027E16"/>
    <w:rsid w:val="4B044CB6"/>
    <w:rsid w:val="4B1530DD"/>
    <w:rsid w:val="4B164249"/>
    <w:rsid w:val="4B1F21AD"/>
    <w:rsid w:val="4B260643"/>
    <w:rsid w:val="4B372446"/>
    <w:rsid w:val="4B49330A"/>
    <w:rsid w:val="4B5F25AA"/>
    <w:rsid w:val="4B6127C6"/>
    <w:rsid w:val="4B6244A2"/>
    <w:rsid w:val="4B906020"/>
    <w:rsid w:val="4B906C07"/>
    <w:rsid w:val="4B977D64"/>
    <w:rsid w:val="4BA601D9"/>
    <w:rsid w:val="4BA803F5"/>
    <w:rsid w:val="4BAB57EF"/>
    <w:rsid w:val="4BB02844"/>
    <w:rsid w:val="4BCF29E0"/>
    <w:rsid w:val="4BCF5981"/>
    <w:rsid w:val="4BDE0179"/>
    <w:rsid w:val="4BF85DFC"/>
    <w:rsid w:val="4C0A0767"/>
    <w:rsid w:val="4C1E06B7"/>
    <w:rsid w:val="4C26206A"/>
    <w:rsid w:val="4C6017D9"/>
    <w:rsid w:val="4C6D3099"/>
    <w:rsid w:val="4C79769B"/>
    <w:rsid w:val="4C9646F1"/>
    <w:rsid w:val="4C975D73"/>
    <w:rsid w:val="4C982217"/>
    <w:rsid w:val="4CA74208"/>
    <w:rsid w:val="4CB44B77"/>
    <w:rsid w:val="4CD62D3F"/>
    <w:rsid w:val="4CE70AA9"/>
    <w:rsid w:val="4CEC7EAC"/>
    <w:rsid w:val="4D027691"/>
    <w:rsid w:val="4D1D44CA"/>
    <w:rsid w:val="4D32473B"/>
    <w:rsid w:val="4D381304"/>
    <w:rsid w:val="4D4D047C"/>
    <w:rsid w:val="4D5379FD"/>
    <w:rsid w:val="4D6A7D0F"/>
    <w:rsid w:val="4D6D36A4"/>
    <w:rsid w:val="4D77007F"/>
    <w:rsid w:val="4D824A84"/>
    <w:rsid w:val="4D8409ED"/>
    <w:rsid w:val="4D9D2CC9"/>
    <w:rsid w:val="4DA4699A"/>
    <w:rsid w:val="4DA852E7"/>
    <w:rsid w:val="4DB620E7"/>
    <w:rsid w:val="4DC94652"/>
    <w:rsid w:val="4DD74FC1"/>
    <w:rsid w:val="4DE35714"/>
    <w:rsid w:val="4E003C1F"/>
    <w:rsid w:val="4E035DB6"/>
    <w:rsid w:val="4E34737C"/>
    <w:rsid w:val="4E347D1E"/>
    <w:rsid w:val="4E390459"/>
    <w:rsid w:val="4E3B72FE"/>
    <w:rsid w:val="4E4151FC"/>
    <w:rsid w:val="4E43575C"/>
    <w:rsid w:val="4E500F98"/>
    <w:rsid w:val="4E525304"/>
    <w:rsid w:val="4E572491"/>
    <w:rsid w:val="4E84518D"/>
    <w:rsid w:val="4EA76741"/>
    <w:rsid w:val="4EAA4484"/>
    <w:rsid w:val="4EAD5D22"/>
    <w:rsid w:val="4EC54E1A"/>
    <w:rsid w:val="4ED10F45"/>
    <w:rsid w:val="4ED1211D"/>
    <w:rsid w:val="4ED27537"/>
    <w:rsid w:val="4ED4505D"/>
    <w:rsid w:val="4EFF657E"/>
    <w:rsid w:val="4F043D9E"/>
    <w:rsid w:val="4F081DBA"/>
    <w:rsid w:val="4F192C4D"/>
    <w:rsid w:val="4F29127F"/>
    <w:rsid w:val="4F2C30EB"/>
    <w:rsid w:val="4F351F9F"/>
    <w:rsid w:val="4F376B26"/>
    <w:rsid w:val="4F5B3603"/>
    <w:rsid w:val="4F6176BF"/>
    <w:rsid w:val="4F675ED1"/>
    <w:rsid w:val="4F6B3C13"/>
    <w:rsid w:val="4F731B37"/>
    <w:rsid w:val="4F7C1C4E"/>
    <w:rsid w:val="4F7D74A2"/>
    <w:rsid w:val="4F8005F3"/>
    <w:rsid w:val="4F980780"/>
    <w:rsid w:val="4F9F566B"/>
    <w:rsid w:val="4FB40E6B"/>
    <w:rsid w:val="4FD55530"/>
    <w:rsid w:val="4FD6416C"/>
    <w:rsid w:val="4FE44618"/>
    <w:rsid w:val="4FE614EB"/>
    <w:rsid w:val="4FF97471"/>
    <w:rsid w:val="4FFC486B"/>
    <w:rsid w:val="4FFE4547"/>
    <w:rsid w:val="500100D3"/>
    <w:rsid w:val="500879CF"/>
    <w:rsid w:val="501222E0"/>
    <w:rsid w:val="50151DD1"/>
    <w:rsid w:val="50334005"/>
    <w:rsid w:val="50334BF7"/>
    <w:rsid w:val="503C55AF"/>
    <w:rsid w:val="50421D9C"/>
    <w:rsid w:val="50424731"/>
    <w:rsid w:val="504F0E3F"/>
    <w:rsid w:val="504F52E3"/>
    <w:rsid w:val="50647638"/>
    <w:rsid w:val="506B7C43"/>
    <w:rsid w:val="50715259"/>
    <w:rsid w:val="5079410E"/>
    <w:rsid w:val="507F724A"/>
    <w:rsid w:val="50843944"/>
    <w:rsid w:val="509C604E"/>
    <w:rsid w:val="509E73CD"/>
    <w:rsid w:val="50AB321F"/>
    <w:rsid w:val="50BB4726"/>
    <w:rsid w:val="50CA660C"/>
    <w:rsid w:val="50CB6A87"/>
    <w:rsid w:val="50D150C6"/>
    <w:rsid w:val="50E05F3B"/>
    <w:rsid w:val="50E53551"/>
    <w:rsid w:val="51025EB1"/>
    <w:rsid w:val="51073791"/>
    <w:rsid w:val="51165E00"/>
    <w:rsid w:val="512322CB"/>
    <w:rsid w:val="512E314A"/>
    <w:rsid w:val="513D15DF"/>
    <w:rsid w:val="515D758B"/>
    <w:rsid w:val="51861D6F"/>
    <w:rsid w:val="51890380"/>
    <w:rsid w:val="51894824"/>
    <w:rsid w:val="5196078D"/>
    <w:rsid w:val="51DB0FC0"/>
    <w:rsid w:val="51F223CA"/>
    <w:rsid w:val="52016370"/>
    <w:rsid w:val="521C20D8"/>
    <w:rsid w:val="523342A0"/>
    <w:rsid w:val="525615E0"/>
    <w:rsid w:val="526112FD"/>
    <w:rsid w:val="52636E23"/>
    <w:rsid w:val="52804C6C"/>
    <w:rsid w:val="52913D67"/>
    <w:rsid w:val="52964527"/>
    <w:rsid w:val="5296650F"/>
    <w:rsid w:val="52A126FB"/>
    <w:rsid w:val="52A15B9E"/>
    <w:rsid w:val="52A4453E"/>
    <w:rsid w:val="52AD4542"/>
    <w:rsid w:val="52BE405A"/>
    <w:rsid w:val="52C65702"/>
    <w:rsid w:val="52E61294"/>
    <w:rsid w:val="52F742C9"/>
    <w:rsid w:val="530F2B07"/>
    <w:rsid w:val="531B0AB3"/>
    <w:rsid w:val="532A0CDB"/>
    <w:rsid w:val="532D11DF"/>
    <w:rsid w:val="532E5683"/>
    <w:rsid w:val="532F007B"/>
    <w:rsid w:val="533B7DA0"/>
    <w:rsid w:val="534649FF"/>
    <w:rsid w:val="534722A1"/>
    <w:rsid w:val="536401DB"/>
    <w:rsid w:val="537A6AA1"/>
    <w:rsid w:val="537B604E"/>
    <w:rsid w:val="53980D4F"/>
    <w:rsid w:val="539D6365"/>
    <w:rsid w:val="539F20DD"/>
    <w:rsid w:val="53A07C03"/>
    <w:rsid w:val="53A652B1"/>
    <w:rsid w:val="53B10062"/>
    <w:rsid w:val="53C94501"/>
    <w:rsid w:val="540128DA"/>
    <w:rsid w:val="540E2DBF"/>
    <w:rsid w:val="54192FEF"/>
    <w:rsid w:val="5428719C"/>
    <w:rsid w:val="54321AC2"/>
    <w:rsid w:val="543D36A4"/>
    <w:rsid w:val="545E6F22"/>
    <w:rsid w:val="54644976"/>
    <w:rsid w:val="54655E08"/>
    <w:rsid w:val="546649A9"/>
    <w:rsid w:val="546B0426"/>
    <w:rsid w:val="549C661D"/>
    <w:rsid w:val="549E05E7"/>
    <w:rsid w:val="54B03E76"/>
    <w:rsid w:val="54CC5B4C"/>
    <w:rsid w:val="54DA7145"/>
    <w:rsid w:val="54DE6C35"/>
    <w:rsid w:val="54E16725"/>
    <w:rsid w:val="54ED50CA"/>
    <w:rsid w:val="54F93A6F"/>
    <w:rsid w:val="55061EF5"/>
    <w:rsid w:val="5513726A"/>
    <w:rsid w:val="551663CF"/>
    <w:rsid w:val="5519761B"/>
    <w:rsid w:val="55312A24"/>
    <w:rsid w:val="55313209"/>
    <w:rsid w:val="55397BB0"/>
    <w:rsid w:val="5543089A"/>
    <w:rsid w:val="554F7B33"/>
    <w:rsid w:val="55500B7A"/>
    <w:rsid w:val="557F21C6"/>
    <w:rsid w:val="55885338"/>
    <w:rsid w:val="558F6DFF"/>
    <w:rsid w:val="55990DAE"/>
    <w:rsid w:val="55AF05D2"/>
    <w:rsid w:val="55B353F5"/>
    <w:rsid w:val="55B86489"/>
    <w:rsid w:val="55BB0D24"/>
    <w:rsid w:val="55C027DF"/>
    <w:rsid w:val="55C27722"/>
    <w:rsid w:val="56004989"/>
    <w:rsid w:val="560B60D9"/>
    <w:rsid w:val="56161BD4"/>
    <w:rsid w:val="56220DA3"/>
    <w:rsid w:val="56226FF5"/>
    <w:rsid w:val="563A7E9B"/>
    <w:rsid w:val="5642697E"/>
    <w:rsid w:val="56456A09"/>
    <w:rsid w:val="564E1B99"/>
    <w:rsid w:val="56791205"/>
    <w:rsid w:val="568630E0"/>
    <w:rsid w:val="56BB0A65"/>
    <w:rsid w:val="56D952A8"/>
    <w:rsid w:val="56D95906"/>
    <w:rsid w:val="56DC57FE"/>
    <w:rsid w:val="56EF3762"/>
    <w:rsid w:val="56FC33A3"/>
    <w:rsid w:val="57225757"/>
    <w:rsid w:val="57274D83"/>
    <w:rsid w:val="572D7A00"/>
    <w:rsid w:val="573B211D"/>
    <w:rsid w:val="57407F61"/>
    <w:rsid w:val="574C257C"/>
    <w:rsid w:val="574E2BA6"/>
    <w:rsid w:val="57831D16"/>
    <w:rsid w:val="57875362"/>
    <w:rsid w:val="579857E3"/>
    <w:rsid w:val="57A16858"/>
    <w:rsid w:val="57AA72A2"/>
    <w:rsid w:val="57D460CD"/>
    <w:rsid w:val="57F55AE4"/>
    <w:rsid w:val="5802684E"/>
    <w:rsid w:val="58164938"/>
    <w:rsid w:val="581A4428"/>
    <w:rsid w:val="5838665C"/>
    <w:rsid w:val="583B3243"/>
    <w:rsid w:val="586438F5"/>
    <w:rsid w:val="586B2160"/>
    <w:rsid w:val="58740BE1"/>
    <w:rsid w:val="587873A1"/>
    <w:rsid w:val="58831FCD"/>
    <w:rsid w:val="58B51D2F"/>
    <w:rsid w:val="58B8779D"/>
    <w:rsid w:val="58B9221A"/>
    <w:rsid w:val="58C16652"/>
    <w:rsid w:val="58C36A96"/>
    <w:rsid w:val="58C779E0"/>
    <w:rsid w:val="58CF5213"/>
    <w:rsid w:val="58D520FD"/>
    <w:rsid w:val="58DB5992"/>
    <w:rsid w:val="58DD798B"/>
    <w:rsid w:val="58E30CBE"/>
    <w:rsid w:val="58F75133"/>
    <w:rsid w:val="58FA1B64"/>
    <w:rsid w:val="59017396"/>
    <w:rsid w:val="590F1468"/>
    <w:rsid w:val="591440B4"/>
    <w:rsid w:val="591F781C"/>
    <w:rsid w:val="59331709"/>
    <w:rsid w:val="593F7AD7"/>
    <w:rsid w:val="594554D5"/>
    <w:rsid w:val="59594ADC"/>
    <w:rsid w:val="595A64AD"/>
    <w:rsid w:val="596F2552"/>
    <w:rsid w:val="598A113A"/>
    <w:rsid w:val="598F04FE"/>
    <w:rsid w:val="599D197A"/>
    <w:rsid w:val="59A71F8F"/>
    <w:rsid w:val="59AB01F8"/>
    <w:rsid w:val="59B652B4"/>
    <w:rsid w:val="59B9431E"/>
    <w:rsid w:val="59C53F20"/>
    <w:rsid w:val="59C97EB4"/>
    <w:rsid w:val="59D40607"/>
    <w:rsid w:val="59D625D1"/>
    <w:rsid w:val="59DD570D"/>
    <w:rsid w:val="59E22D24"/>
    <w:rsid w:val="59FC1CC9"/>
    <w:rsid w:val="5A08675B"/>
    <w:rsid w:val="5A2A0227"/>
    <w:rsid w:val="5A3115B5"/>
    <w:rsid w:val="5A405C9C"/>
    <w:rsid w:val="5A490FF5"/>
    <w:rsid w:val="5A537A69"/>
    <w:rsid w:val="5A5A57AD"/>
    <w:rsid w:val="5A6C4CE3"/>
    <w:rsid w:val="5A8262B5"/>
    <w:rsid w:val="5A84202D"/>
    <w:rsid w:val="5A971D60"/>
    <w:rsid w:val="5A990844"/>
    <w:rsid w:val="5A9C7376"/>
    <w:rsid w:val="5AC71F19"/>
    <w:rsid w:val="5ACA2937"/>
    <w:rsid w:val="5ACD5782"/>
    <w:rsid w:val="5ACF0F8A"/>
    <w:rsid w:val="5AF86B46"/>
    <w:rsid w:val="5B0667AC"/>
    <w:rsid w:val="5B070568"/>
    <w:rsid w:val="5B4B66A7"/>
    <w:rsid w:val="5B4D68C3"/>
    <w:rsid w:val="5B57504B"/>
    <w:rsid w:val="5B597015"/>
    <w:rsid w:val="5B601D6D"/>
    <w:rsid w:val="5B6A2FD1"/>
    <w:rsid w:val="5B6B4F9B"/>
    <w:rsid w:val="5B763AC6"/>
    <w:rsid w:val="5B9C33A6"/>
    <w:rsid w:val="5BAF6C35"/>
    <w:rsid w:val="5BB03E37"/>
    <w:rsid w:val="5BB16E51"/>
    <w:rsid w:val="5BBC5765"/>
    <w:rsid w:val="5BBF67BB"/>
    <w:rsid w:val="5BE07737"/>
    <w:rsid w:val="5BEA0EA0"/>
    <w:rsid w:val="5BF24C58"/>
    <w:rsid w:val="5BF64864"/>
    <w:rsid w:val="5BFE7BBD"/>
    <w:rsid w:val="5C0554A5"/>
    <w:rsid w:val="5C235F5B"/>
    <w:rsid w:val="5C2B0FDF"/>
    <w:rsid w:val="5C3402DC"/>
    <w:rsid w:val="5C3F22A3"/>
    <w:rsid w:val="5C433822"/>
    <w:rsid w:val="5C470D42"/>
    <w:rsid w:val="5C606182"/>
    <w:rsid w:val="5C6C69AE"/>
    <w:rsid w:val="5C8962E6"/>
    <w:rsid w:val="5C8D3148"/>
    <w:rsid w:val="5C8E5E88"/>
    <w:rsid w:val="5C92685B"/>
    <w:rsid w:val="5C95745D"/>
    <w:rsid w:val="5CA3560F"/>
    <w:rsid w:val="5CA92B4D"/>
    <w:rsid w:val="5CAC2E4F"/>
    <w:rsid w:val="5CAF1492"/>
    <w:rsid w:val="5CBD29A0"/>
    <w:rsid w:val="5CC2508E"/>
    <w:rsid w:val="5CD5091E"/>
    <w:rsid w:val="5CD86BD0"/>
    <w:rsid w:val="5CF05758"/>
    <w:rsid w:val="5CFA6311"/>
    <w:rsid w:val="5D0B2943"/>
    <w:rsid w:val="5D1F7DEB"/>
    <w:rsid w:val="5D2212B7"/>
    <w:rsid w:val="5D23137A"/>
    <w:rsid w:val="5D236E89"/>
    <w:rsid w:val="5D2378DB"/>
    <w:rsid w:val="5D283143"/>
    <w:rsid w:val="5D3A4C25"/>
    <w:rsid w:val="5D412E86"/>
    <w:rsid w:val="5D45600F"/>
    <w:rsid w:val="5D537A94"/>
    <w:rsid w:val="5D5B27A1"/>
    <w:rsid w:val="5D5F468B"/>
    <w:rsid w:val="5D663C6C"/>
    <w:rsid w:val="5D683540"/>
    <w:rsid w:val="5D7243BE"/>
    <w:rsid w:val="5D77669C"/>
    <w:rsid w:val="5D86006E"/>
    <w:rsid w:val="5DA744B4"/>
    <w:rsid w:val="5DB270F2"/>
    <w:rsid w:val="5DCF35BF"/>
    <w:rsid w:val="5DD230AF"/>
    <w:rsid w:val="5DF66BDC"/>
    <w:rsid w:val="5DFB359E"/>
    <w:rsid w:val="5E2B4A69"/>
    <w:rsid w:val="5E394EDC"/>
    <w:rsid w:val="5E443FAD"/>
    <w:rsid w:val="5E727157"/>
    <w:rsid w:val="5E772DB2"/>
    <w:rsid w:val="5E8B0CD1"/>
    <w:rsid w:val="5E907AF9"/>
    <w:rsid w:val="5E927771"/>
    <w:rsid w:val="5E9B5B97"/>
    <w:rsid w:val="5EA42C9D"/>
    <w:rsid w:val="5EA7453C"/>
    <w:rsid w:val="5EAE7678"/>
    <w:rsid w:val="5EBB7FE7"/>
    <w:rsid w:val="5ECB647C"/>
    <w:rsid w:val="5EE26529"/>
    <w:rsid w:val="5F092B01"/>
    <w:rsid w:val="5F2A6A0E"/>
    <w:rsid w:val="5F3959AA"/>
    <w:rsid w:val="5F443B39"/>
    <w:rsid w:val="5F491A1B"/>
    <w:rsid w:val="5F750ADC"/>
    <w:rsid w:val="5F996F71"/>
    <w:rsid w:val="5F9C2CA4"/>
    <w:rsid w:val="5FA36AB1"/>
    <w:rsid w:val="5FAE3A01"/>
    <w:rsid w:val="5FC86AF5"/>
    <w:rsid w:val="5FD70E51"/>
    <w:rsid w:val="5FDC7E9B"/>
    <w:rsid w:val="5FE315A4"/>
    <w:rsid w:val="5FEF619A"/>
    <w:rsid w:val="5FFC4413"/>
    <w:rsid w:val="600339F4"/>
    <w:rsid w:val="6004777E"/>
    <w:rsid w:val="60115C72"/>
    <w:rsid w:val="6013693F"/>
    <w:rsid w:val="601B0D3D"/>
    <w:rsid w:val="60275934"/>
    <w:rsid w:val="603B318E"/>
    <w:rsid w:val="604069F6"/>
    <w:rsid w:val="604F09E7"/>
    <w:rsid w:val="605B738C"/>
    <w:rsid w:val="6066108A"/>
    <w:rsid w:val="60712CDB"/>
    <w:rsid w:val="60736193"/>
    <w:rsid w:val="607466A0"/>
    <w:rsid w:val="607A54CE"/>
    <w:rsid w:val="608A6083"/>
    <w:rsid w:val="60AA172A"/>
    <w:rsid w:val="60C56EFB"/>
    <w:rsid w:val="60C63FD9"/>
    <w:rsid w:val="60D50441"/>
    <w:rsid w:val="60D5726F"/>
    <w:rsid w:val="60D9283D"/>
    <w:rsid w:val="60DA190E"/>
    <w:rsid w:val="60E27AAD"/>
    <w:rsid w:val="60E37A9B"/>
    <w:rsid w:val="60FA6BA5"/>
    <w:rsid w:val="610E5564"/>
    <w:rsid w:val="61113EEE"/>
    <w:rsid w:val="61241E74"/>
    <w:rsid w:val="614748AD"/>
    <w:rsid w:val="614B5652"/>
    <w:rsid w:val="614B7400"/>
    <w:rsid w:val="615D0EE2"/>
    <w:rsid w:val="61652E80"/>
    <w:rsid w:val="61920AE7"/>
    <w:rsid w:val="619A3B9A"/>
    <w:rsid w:val="619C1A0A"/>
    <w:rsid w:val="619F599E"/>
    <w:rsid w:val="61AA617D"/>
    <w:rsid w:val="61AD2277"/>
    <w:rsid w:val="61B01959"/>
    <w:rsid w:val="61E21CA2"/>
    <w:rsid w:val="61E909C7"/>
    <w:rsid w:val="621150B7"/>
    <w:rsid w:val="62187750"/>
    <w:rsid w:val="62271B8B"/>
    <w:rsid w:val="622F0AD0"/>
    <w:rsid w:val="622F287E"/>
    <w:rsid w:val="622F7D46"/>
    <w:rsid w:val="62303D5D"/>
    <w:rsid w:val="62325D1C"/>
    <w:rsid w:val="623B56C7"/>
    <w:rsid w:val="623D0256"/>
    <w:rsid w:val="623E0D13"/>
    <w:rsid w:val="62423FC3"/>
    <w:rsid w:val="624339A9"/>
    <w:rsid w:val="62453B18"/>
    <w:rsid w:val="62522A10"/>
    <w:rsid w:val="625340CD"/>
    <w:rsid w:val="625D47CB"/>
    <w:rsid w:val="626369CC"/>
    <w:rsid w:val="626B762E"/>
    <w:rsid w:val="627252FE"/>
    <w:rsid w:val="62777E59"/>
    <w:rsid w:val="62797F9D"/>
    <w:rsid w:val="628A01C5"/>
    <w:rsid w:val="628B2BF7"/>
    <w:rsid w:val="629366F4"/>
    <w:rsid w:val="629B6165"/>
    <w:rsid w:val="62A0552A"/>
    <w:rsid w:val="62A36DC8"/>
    <w:rsid w:val="62B132A1"/>
    <w:rsid w:val="62B964FA"/>
    <w:rsid w:val="62BD2202"/>
    <w:rsid w:val="62CE705E"/>
    <w:rsid w:val="62DB0C58"/>
    <w:rsid w:val="62DF4E3C"/>
    <w:rsid w:val="62E73159"/>
    <w:rsid w:val="62E85D96"/>
    <w:rsid w:val="62F15D85"/>
    <w:rsid w:val="62F835B8"/>
    <w:rsid w:val="63041F5D"/>
    <w:rsid w:val="630A6E47"/>
    <w:rsid w:val="630C2BBF"/>
    <w:rsid w:val="63214AE8"/>
    <w:rsid w:val="63282FC3"/>
    <w:rsid w:val="6329551F"/>
    <w:rsid w:val="633B34A5"/>
    <w:rsid w:val="633D1CE0"/>
    <w:rsid w:val="63450CA8"/>
    <w:rsid w:val="63493184"/>
    <w:rsid w:val="63573A25"/>
    <w:rsid w:val="635A12B4"/>
    <w:rsid w:val="635C2035"/>
    <w:rsid w:val="63611B20"/>
    <w:rsid w:val="63777CA7"/>
    <w:rsid w:val="63892462"/>
    <w:rsid w:val="63921239"/>
    <w:rsid w:val="6394230E"/>
    <w:rsid w:val="63A81C50"/>
    <w:rsid w:val="63C5060B"/>
    <w:rsid w:val="63CF632C"/>
    <w:rsid w:val="63D715A1"/>
    <w:rsid w:val="63EF7FA0"/>
    <w:rsid w:val="63FA21F9"/>
    <w:rsid w:val="641E6734"/>
    <w:rsid w:val="64345999"/>
    <w:rsid w:val="643474F7"/>
    <w:rsid w:val="643B00E8"/>
    <w:rsid w:val="645A6B7B"/>
    <w:rsid w:val="64607667"/>
    <w:rsid w:val="646C5FB1"/>
    <w:rsid w:val="6476379D"/>
    <w:rsid w:val="64763E2C"/>
    <w:rsid w:val="647C3D75"/>
    <w:rsid w:val="64852C29"/>
    <w:rsid w:val="64882A58"/>
    <w:rsid w:val="64925346"/>
    <w:rsid w:val="64AF414A"/>
    <w:rsid w:val="64CF659A"/>
    <w:rsid w:val="64D34395"/>
    <w:rsid w:val="64EA6203"/>
    <w:rsid w:val="65053D6A"/>
    <w:rsid w:val="65055979"/>
    <w:rsid w:val="65137B25"/>
    <w:rsid w:val="65150451"/>
    <w:rsid w:val="65177F59"/>
    <w:rsid w:val="651D27FB"/>
    <w:rsid w:val="65240694"/>
    <w:rsid w:val="652E7E13"/>
    <w:rsid w:val="65322A34"/>
    <w:rsid w:val="655A40B6"/>
    <w:rsid w:val="656071F2"/>
    <w:rsid w:val="657236A9"/>
    <w:rsid w:val="657809E0"/>
    <w:rsid w:val="65832EBA"/>
    <w:rsid w:val="65894783"/>
    <w:rsid w:val="65956E9C"/>
    <w:rsid w:val="659C46CE"/>
    <w:rsid w:val="65A70761"/>
    <w:rsid w:val="65B705C0"/>
    <w:rsid w:val="65BC7FC9"/>
    <w:rsid w:val="65CE6852"/>
    <w:rsid w:val="65E25E59"/>
    <w:rsid w:val="65E336C9"/>
    <w:rsid w:val="65E41BD1"/>
    <w:rsid w:val="65EE0CA2"/>
    <w:rsid w:val="65FC6F1B"/>
    <w:rsid w:val="65FD2C93"/>
    <w:rsid w:val="661701F9"/>
    <w:rsid w:val="6626043C"/>
    <w:rsid w:val="662931CE"/>
    <w:rsid w:val="664D7777"/>
    <w:rsid w:val="66544FA9"/>
    <w:rsid w:val="66552B2B"/>
    <w:rsid w:val="66567FF1"/>
    <w:rsid w:val="665937B5"/>
    <w:rsid w:val="666230CA"/>
    <w:rsid w:val="666B5E4F"/>
    <w:rsid w:val="66707909"/>
    <w:rsid w:val="667F298E"/>
    <w:rsid w:val="66857CF8"/>
    <w:rsid w:val="669748D6"/>
    <w:rsid w:val="66A23F66"/>
    <w:rsid w:val="66A71258"/>
    <w:rsid w:val="66AC6B93"/>
    <w:rsid w:val="66B21CD0"/>
    <w:rsid w:val="66B57E5F"/>
    <w:rsid w:val="66C242CC"/>
    <w:rsid w:val="66CC5472"/>
    <w:rsid w:val="66D06120"/>
    <w:rsid w:val="66D460EA"/>
    <w:rsid w:val="66D52076"/>
    <w:rsid w:val="66DC6D4D"/>
    <w:rsid w:val="66E26E7C"/>
    <w:rsid w:val="66F422E8"/>
    <w:rsid w:val="66F95B50"/>
    <w:rsid w:val="670219E7"/>
    <w:rsid w:val="670238F3"/>
    <w:rsid w:val="670C4FDE"/>
    <w:rsid w:val="671309C0"/>
    <w:rsid w:val="671C744E"/>
    <w:rsid w:val="6740552D"/>
    <w:rsid w:val="6749706D"/>
    <w:rsid w:val="674A1F08"/>
    <w:rsid w:val="674C3ED2"/>
    <w:rsid w:val="674F5770"/>
    <w:rsid w:val="676A026B"/>
    <w:rsid w:val="676B69FA"/>
    <w:rsid w:val="676C6322"/>
    <w:rsid w:val="67803B7C"/>
    <w:rsid w:val="678F3DBF"/>
    <w:rsid w:val="679A2E90"/>
    <w:rsid w:val="67B0620F"/>
    <w:rsid w:val="67BF5044"/>
    <w:rsid w:val="67C107F4"/>
    <w:rsid w:val="67C65A33"/>
    <w:rsid w:val="67D3032E"/>
    <w:rsid w:val="67E265E5"/>
    <w:rsid w:val="67E660D5"/>
    <w:rsid w:val="67EA66C6"/>
    <w:rsid w:val="67FA56DC"/>
    <w:rsid w:val="67FD51CC"/>
    <w:rsid w:val="680E1188"/>
    <w:rsid w:val="682242D8"/>
    <w:rsid w:val="68262975"/>
    <w:rsid w:val="68350E54"/>
    <w:rsid w:val="683F57E5"/>
    <w:rsid w:val="68564350"/>
    <w:rsid w:val="686635B0"/>
    <w:rsid w:val="6870315E"/>
    <w:rsid w:val="68A45648"/>
    <w:rsid w:val="68B24209"/>
    <w:rsid w:val="68BA4E6C"/>
    <w:rsid w:val="68CA68A4"/>
    <w:rsid w:val="68F16ADF"/>
    <w:rsid w:val="68FC241E"/>
    <w:rsid w:val="68FE11FC"/>
    <w:rsid w:val="691B3B5C"/>
    <w:rsid w:val="692264C9"/>
    <w:rsid w:val="69233924"/>
    <w:rsid w:val="6948298A"/>
    <w:rsid w:val="694D0207"/>
    <w:rsid w:val="6951757E"/>
    <w:rsid w:val="697119CE"/>
    <w:rsid w:val="697414BE"/>
    <w:rsid w:val="697D4817"/>
    <w:rsid w:val="698A250C"/>
    <w:rsid w:val="699F653B"/>
    <w:rsid w:val="69A53EF4"/>
    <w:rsid w:val="69A87AAE"/>
    <w:rsid w:val="69AE49D0"/>
    <w:rsid w:val="69BF2811"/>
    <w:rsid w:val="69D733AD"/>
    <w:rsid w:val="6A06390E"/>
    <w:rsid w:val="6A06480C"/>
    <w:rsid w:val="6A0D2113"/>
    <w:rsid w:val="6A0E36C1"/>
    <w:rsid w:val="6A1A02B8"/>
    <w:rsid w:val="6A22716C"/>
    <w:rsid w:val="6A2904FB"/>
    <w:rsid w:val="6A293039"/>
    <w:rsid w:val="6A5C7765"/>
    <w:rsid w:val="6A633A0D"/>
    <w:rsid w:val="6A6907EF"/>
    <w:rsid w:val="6A8219B9"/>
    <w:rsid w:val="6A86594D"/>
    <w:rsid w:val="6A9126D7"/>
    <w:rsid w:val="6AB91856"/>
    <w:rsid w:val="6ABA73A5"/>
    <w:rsid w:val="6ABF5992"/>
    <w:rsid w:val="6AC344AB"/>
    <w:rsid w:val="6AC94A9A"/>
    <w:rsid w:val="6AD0082B"/>
    <w:rsid w:val="6B013226"/>
    <w:rsid w:val="6B0B19AE"/>
    <w:rsid w:val="6B1B6095"/>
    <w:rsid w:val="6B2361F6"/>
    <w:rsid w:val="6B2B7B83"/>
    <w:rsid w:val="6B3E7FD6"/>
    <w:rsid w:val="6B435DC8"/>
    <w:rsid w:val="6B5B46E4"/>
    <w:rsid w:val="6B5E5F82"/>
    <w:rsid w:val="6B623CC4"/>
    <w:rsid w:val="6B63238D"/>
    <w:rsid w:val="6B7457A6"/>
    <w:rsid w:val="6B8C5063"/>
    <w:rsid w:val="6B923E7E"/>
    <w:rsid w:val="6BA8544F"/>
    <w:rsid w:val="6BA9399A"/>
    <w:rsid w:val="6BAE03D5"/>
    <w:rsid w:val="6BCA186A"/>
    <w:rsid w:val="6BD94F89"/>
    <w:rsid w:val="6BE94390"/>
    <w:rsid w:val="6BEE7306"/>
    <w:rsid w:val="6BEF1B0D"/>
    <w:rsid w:val="6BF31356"/>
    <w:rsid w:val="6BF54B38"/>
    <w:rsid w:val="6BFD20FB"/>
    <w:rsid w:val="6C044D7B"/>
    <w:rsid w:val="6C152AE5"/>
    <w:rsid w:val="6C180827"/>
    <w:rsid w:val="6C3D203B"/>
    <w:rsid w:val="6C417D7E"/>
    <w:rsid w:val="6C4D78A6"/>
    <w:rsid w:val="6C5630FD"/>
    <w:rsid w:val="6C6475C8"/>
    <w:rsid w:val="6C700663"/>
    <w:rsid w:val="6C726189"/>
    <w:rsid w:val="6C77379F"/>
    <w:rsid w:val="6C81770F"/>
    <w:rsid w:val="6C9854C4"/>
    <w:rsid w:val="6CA95923"/>
    <w:rsid w:val="6CB57E24"/>
    <w:rsid w:val="6CC83FFB"/>
    <w:rsid w:val="6CF05300"/>
    <w:rsid w:val="6CF7668E"/>
    <w:rsid w:val="6CFC1EF7"/>
    <w:rsid w:val="6CFC5A53"/>
    <w:rsid w:val="6D170ADE"/>
    <w:rsid w:val="6D417438"/>
    <w:rsid w:val="6D4B2536"/>
    <w:rsid w:val="6D602485"/>
    <w:rsid w:val="6D6C1076"/>
    <w:rsid w:val="6D7478EE"/>
    <w:rsid w:val="6D763A57"/>
    <w:rsid w:val="6D8343C6"/>
    <w:rsid w:val="6D920165"/>
    <w:rsid w:val="6D9519D5"/>
    <w:rsid w:val="6D9B07DA"/>
    <w:rsid w:val="6D9D7236"/>
    <w:rsid w:val="6DA16BD2"/>
    <w:rsid w:val="6DA63F22"/>
    <w:rsid w:val="6DC72505"/>
    <w:rsid w:val="6DCC7B1B"/>
    <w:rsid w:val="6DDF784E"/>
    <w:rsid w:val="6DF13761"/>
    <w:rsid w:val="6E0E0133"/>
    <w:rsid w:val="6E1558C8"/>
    <w:rsid w:val="6E182D60"/>
    <w:rsid w:val="6E1D0376"/>
    <w:rsid w:val="6E247776"/>
    <w:rsid w:val="6E250E46"/>
    <w:rsid w:val="6E251531"/>
    <w:rsid w:val="6E331948"/>
    <w:rsid w:val="6E34121C"/>
    <w:rsid w:val="6E3D4575"/>
    <w:rsid w:val="6E414065"/>
    <w:rsid w:val="6E502ADD"/>
    <w:rsid w:val="6E511DCE"/>
    <w:rsid w:val="6E551B5B"/>
    <w:rsid w:val="6E573A03"/>
    <w:rsid w:val="6E661D1D"/>
    <w:rsid w:val="6E684718"/>
    <w:rsid w:val="6E981591"/>
    <w:rsid w:val="6EAA39A2"/>
    <w:rsid w:val="6EB365E5"/>
    <w:rsid w:val="6EE05C99"/>
    <w:rsid w:val="6EE61403"/>
    <w:rsid w:val="6EFC4ADE"/>
    <w:rsid w:val="6F2F65B3"/>
    <w:rsid w:val="6F32398A"/>
    <w:rsid w:val="6F3B0A2E"/>
    <w:rsid w:val="6F4044CB"/>
    <w:rsid w:val="6F4A006F"/>
    <w:rsid w:val="6F4A519B"/>
    <w:rsid w:val="6F593630"/>
    <w:rsid w:val="6F5B73A8"/>
    <w:rsid w:val="6F685A10"/>
    <w:rsid w:val="6F767D3E"/>
    <w:rsid w:val="6F80020C"/>
    <w:rsid w:val="6F821D23"/>
    <w:rsid w:val="6F9366CF"/>
    <w:rsid w:val="6F9B1553"/>
    <w:rsid w:val="6F9F3AF3"/>
    <w:rsid w:val="6FA128E1"/>
    <w:rsid w:val="6FAF0FDA"/>
    <w:rsid w:val="6FB34E52"/>
    <w:rsid w:val="6FC565D0"/>
    <w:rsid w:val="6FD42CB7"/>
    <w:rsid w:val="6FE23626"/>
    <w:rsid w:val="6FEC4978"/>
    <w:rsid w:val="6FEF7AF1"/>
    <w:rsid w:val="6FF62C2D"/>
    <w:rsid w:val="6FFB6495"/>
    <w:rsid w:val="700C3276"/>
    <w:rsid w:val="700D088C"/>
    <w:rsid w:val="700E45FE"/>
    <w:rsid w:val="703B6EE2"/>
    <w:rsid w:val="704232C3"/>
    <w:rsid w:val="704249BF"/>
    <w:rsid w:val="70441BEA"/>
    <w:rsid w:val="70453BB5"/>
    <w:rsid w:val="704B266B"/>
    <w:rsid w:val="70512559"/>
    <w:rsid w:val="705F4C76"/>
    <w:rsid w:val="7064228D"/>
    <w:rsid w:val="706E310B"/>
    <w:rsid w:val="70820FD9"/>
    <w:rsid w:val="709D579F"/>
    <w:rsid w:val="70A46B2D"/>
    <w:rsid w:val="70A97C9F"/>
    <w:rsid w:val="70B56644"/>
    <w:rsid w:val="70B751AD"/>
    <w:rsid w:val="70CE4EA1"/>
    <w:rsid w:val="70E05E9D"/>
    <w:rsid w:val="70E231B1"/>
    <w:rsid w:val="70FD4809"/>
    <w:rsid w:val="7103047F"/>
    <w:rsid w:val="7113017D"/>
    <w:rsid w:val="711772FF"/>
    <w:rsid w:val="711B4292"/>
    <w:rsid w:val="71222D1B"/>
    <w:rsid w:val="713A2FED"/>
    <w:rsid w:val="713C0B14"/>
    <w:rsid w:val="714C17A4"/>
    <w:rsid w:val="71566000"/>
    <w:rsid w:val="71601E39"/>
    <w:rsid w:val="71915DBC"/>
    <w:rsid w:val="71A05546"/>
    <w:rsid w:val="71BB3875"/>
    <w:rsid w:val="71C034F3"/>
    <w:rsid w:val="71C546DD"/>
    <w:rsid w:val="71E23DDD"/>
    <w:rsid w:val="71E63E66"/>
    <w:rsid w:val="71EA7B61"/>
    <w:rsid w:val="71F65166"/>
    <w:rsid w:val="72000A58"/>
    <w:rsid w:val="72097D64"/>
    <w:rsid w:val="721D5E0B"/>
    <w:rsid w:val="722A3062"/>
    <w:rsid w:val="72356599"/>
    <w:rsid w:val="725110DB"/>
    <w:rsid w:val="725325B9"/>
    <w:rsid w:val="72687A9B"/>
    <w:rsid w:val="726A345E"/>
    <w:rsid w:val="726C5429"/>
    <w:rsid w:val="726D6A77"/>
    <w:rsid w:val="727018FF"/>
    <w:rsid w:val="7284703D"/>
    <w:rsid w:val="72BD6FD4"/>
    <w:rsid w:val="72C344B7"/>
    <w:rsid w:val="72C87F02"/>
    <w:rsid w:val="72CE1FD6"/>
    <w:rsid w:val="72D541D6"/>
    <w:rsid w:val="72DC25AE"/>
    <w:rsid w:val="72E01973"/>
    <w:rsid w:val="72E74AAF"/>
    <w:rsid w:val="72EE6F78"/>
    <w:rsid w:val="730012E9"/>
    <w:rsid w:val="730E4732"/>
    <w:rsid w:val="7318110C"/>
    <w:rsid w:val="732D3A4D"/>
    <w:rsid w:val="73313FDF"/>
    <w:rsid w:val="734248D3"/>
    <w:rsid w:val="734A49FB"/>
    <w:rsid w:val="7352461E"/>
    <w:rsid w:val="73562C16"/>
    <w:rsid w:val="735F6D3B"/>
    <w:rsid w:val="73734595"/>
    <w:rsid w:val="737E5413"/>
    <w:rsid w:val="73804653"/>
    <w:rsid w:val="738F33AD"/>
    <w:rsid w:val="73CF5C6F"/>
    <w:rsid w:val="73E3171A"/>
    <w:rsid w:val="73E3796C"/>
    <w:rsid w:val="73EA0CFB"/>
    <w:rsid w:val="73F91EDA"/>
    <w:rsid w:val="741D31E9"/>
    <w:rsid w:val="7420296E"/>
    <w:rsid w:val="742C4E6F"/>
    <w:rsid w:val="743B7BDF"/>
    <w:rsid w:val="744827C1"/>
    <w:rsid w:val="74535F81"/>
    <w:rsid w:val="745A0321"/>
    <w:rsid w:val="746764FE"/>
    <w:rsid w:val="746F1200"/>
    <w:rsid w:val="7470597E"/>
    <w:rsid w:val="74795BDB"/>
    <w:rsid w:val="747F7695"/>
    <w:rsid w:val="748A603A"/>
    <w:rsid w:val="74A0585D"/>
    <w:rsid w:val="74A80D46"/>
    <w:rsid w:val="74AB0B6C"/>
    <w:rsid w:val="74B355FF"/>
    <w:rsid w:val="74CE23CA"/>
    <w:rsid w:val="75061B64"/>
    <w:rsid w:val="75072C12"/>
    <w:rsid w:val="750A0A8A"/>
    <w:rsid w:val="75183646"/>
    <w:rsid w:val="75412B9C"/>
    <w:rsid w:val="75475CD9"/>
    <w:rsid w:val="75483CBA"/>
    <w:rsid w:val="755342EA"/>
    <w:rsid w:val="75535C5E"/>
    <w:rsid w:val="755F1275"/>
    <w:rsid w:val="75640639"/>
    <w:rsid w:val="75662603"/>
    <w:rsid w:val="75852B4F"/>
    <w:rsid w:val="75875628"/>
    <w:rsid w:val="758916BC"/>
    <w:rsid w:val="75954C96"/>
    <w:rsid w:val="75AB270C"/>
    <w:rsid w:val="75AE549B"/>
    <w:rsid w:val="75DB0912"/>
    <w:rsid w:val="75DD343A"/>
    <w:rsid w:val="75EA6D90"/>
    <w:rsid w:val="75F04D0D"/>
    <w:rsid w:val="75FE45EA"/>
    <w:rsid w:val="762A7AD4"/>
    <w:rsid w:val="762F0C47"/>
    <w:rsid w:val="763406C3"/>
    <w:rsid w:val="76393874"/>
    <w:rsid w:val="76426BCC"/>
    <w:rsid w:val="76472434"/>
    <w:rsid w:val="764861AD"/>
    <w:rsid w:val="764F3097"/>
    <w:rsid w:val="766823AB"/>
    <w:rsid w:val="768A2321"/>
    <w:rsid w:val="768F5B89"/>
    <w:rsid w:val="7691545E"/>
    <w:rsid w:val="76A30345"/>
    <w:rsid w:val="76BF646F"/>
    <w:rsid w:val="76D0242A"/>
    <w:rsid w:val="76D37824"/>
    <w:rsid w:val="76D90BB3"/>
    <w:rsid w:val="7709070B"/>
    <w:rsid w:val="771E27A0"/>
    <w:rsid w:val="772760EC"/>
    <w:rsid w:val="772C162A"/>
    <w:rsid w:val="77316C41"/>
    <w:rsid w:val="7750356B"/>
    <w:rsid w:val="775070C7"/>
    <w:rsid w:val="77552ADF"/>
    <w:rsid w:val="777234E1"/>
    <w:rsid w:val="77737259"/>
    <w:rsid w:val="77866F8C"/>
    <w:rsid w:val="77920529"/>
    <w:rsid w:val="77AE6E47"/>
    <w:rsid w:val="77B9791C"/>
    <w:rsid w:val="77BD2282"/>
    <w:rsid w:val="77CA2A48"/>
    <w:rsid w:val="77D00208"/>
    <w:rsid w:val="77D01FB6"/>
    <w:rsid w:val="77D31AA6"/>
    <w:rsid w:val="77D55B8F"/>
    <w:rsid w:val="77E54CD2"/>
    <w:rsid w:val="77FC615D"/>
    <w:rsid w:val="780600CD"/>
    <w:rsid w:val="78090E99"/>
    <w:rsid w:val="781F4C8F"/>
    <w:rsid w:val="782B2DC7"/>
    <w:rsid w:val="78387464"/>
    <w:rsid w:val="78431906"/>
    <w:rsid w:val="78540E39"/>
    <w:rsid w:val="786A27A3"/>
    <w:rsid w:val="787D1F3D"/>
    <w:rsid w:val="788914E0"/>
    <w:rsid w:val="78995830"/>
    <w:rsid w:val="78BB2C66"/>
    <w:rsid w:val="78C53B9B"/>
    <w:rsid w:val="78DB3B19"/>
    <w:rsid w:val="78DC4238"/>
    <w:rsid w:val="78F246B6"/>
    <w:rsid w:val="78F36AC2"/>
    <w:rsid w:val="78F921D5"/>
    <w:rsid w:val="78FD0908"/>
    <w:rsid w:val="792151BF"/>
    <w:rsid w:val="7923201D"/>
    <w:rsid w:val="79273E57"/>
    <w:rsid w:val="793D367B"/>
    <w:rsid w:val="79453374"/>
    <w:rsid w:val="79584959"/>
    <w:rsid w:val="795A5FDB"/>
    <w:rsid w:val="795D1F6F"/>
    <w:rsid w:val="796E7CD8"/>
    <w:rsid w:val="797F25A0"/>
    <w:rsid w:val="79915775"/>
    <w:rsid w:val="79C618C2"/>
    <w:rsid w:val="79FD2E0A"/>
    <w:rsid w:val="7A0128FA"/>
    <w:rsid w:val="7A020920"/>
    <w:rsid w:val="7A0235FC"/>
    <w:rsid w:val="7A093FF2"/>
    <w:rsid w:val="7A0A689F"/>
    <w:rsid w:val="7A0D74F1"/>
    <w:rsid w:val="7A214D4A"/>
    <w:rsid w:val="7A2A00A3"/>
    <w:rsid w:val="7A2D7B93"/>
    <w:rsid w:val="7A30625E"/>
    <w:rsid w:val="7A346635"/>
    <w:rsid w:val="7A3727C0"/>
    <w:rsid w:val="7A3C62BD"/>
    <w:rsid w:val="7A3D118F"/>
    <w:rsid w:val="7A431165"/>
    <w:rsid w:val="7A537B18"/>
    <w:rsid w:val="7A540C7C"/>
    <w:rsid w:val="7A56161A"/>
    <w:rsid w:val="7A5C507C"/>
    <w:rsid w:val="7A8121B4"/>
    <w:rsid w:val="7A8A28F0"/>
    <w:rsid w:val="7A900104"/>
    <w:rsid w:val="7A9D6AC7"/>
    <w:rsid w:val="7AB160CE"/>
    <w:rsid w:val="7ABA28D1"/>
    <w:rsid w:val="7AD65B35"/>
    <w:rsid w:val="7AE155BA"/>
    <w:rsid w:val="7AE412F1"/>
    <w:rsid w:val="7AFB68E5"/>
    <w:rsid w:val="7AFD0466"/>
    <w:rsid w:val="7AFE32DE"/>
    <w:rsid w:val="7B1D15D0"/>
    <w:rsid w:val="7B1E128A"/>
    <w:rsid w:val="7B2039AA"/>
    <w:rsid w:val="7B252A78"/>
    <w:rsid w:val="7B29035B"/>
    <w:rsid w:val="7B2D1002"/>
    <w:rsid w:val="7B2F54B5"/>
    <w:rsid w:val="7B3E6B19"/>
    <w:rsid w:val="7B5B24DE"/>
    <w:rsid w:val="7B656EB9"/>
    <w:rsid w:val="7B666EB5"/>
    <w:rsid w:val="7B8C5067"/>
    <w:rsid w:val="7BA75723"/>
    <w:rsid w:val="7BBB053C"/>
    <w:rsid w:val="7BD52290"/>
    <w:rsid w:val="7BD858DD"/>
    <w:rsid w:val="7BDA1655"/>
    <w:rsid w:val="7BF5648F"/>
    <w:rsid w:val="7BF734F3"/>
    <w:rsid w:val="7C047433"/>
    <w:rsid w:val="7C0B5CB2"/>
    <w:rsid w:val="7C1160F6"/>
    <w:rsid w:val="7C1903CF"/>
    <w:rsid w:val="7C2A1B9E"/>
    <w:rsid w:val="7C3A6597"/>
    <w:rsid w:val="7C4F7185"/>
    <w:rsid w:val="7C686C61"/>
    <w:rsid w:val="7C71553E"/>
    <w:rsid w:val="7C7A6994"/>
    <w:rsid w:val="7C825488"/>
    <w:rsid w:val="7C8B6195"/>
    <w:rsid w:val="7C977546"/>
    <w:rsid w:val="7CA957A1"/>
    <w:rsid w:val="7CB4634A"/>
    <w:rsid w:val="7CC04CEF"/>
    <w:rsid w:val="7CCD4D16"/>
    <w:rsid w:val="7CD341BD"/>
    <w:rsid w:val="7CE0713F"/>
    <w:rsid w:val="7CE87DA1"/>
    <w:rsid w:val="7CEA0AAA"/>
    <w:rsid w:val="7CEA1D6C"/>
    <w:rsid w:val="7D1522B8"/>
    <w:rsid w:val="7D197F5B"/>
    <w:rsid w:val="7D1C0D35"/>
    <w:rsid w:val="7D2012E9"/>
    <w:rsid w:val="7D213CB1"/>
    <w:rsid w:val="7D252DA4"/>
    <w:rsid w:val="7D384885"/>
    <w:rsid w:val="7D8E05A7"/>
    <w:rsid w:val="7D9F66B2"/>
    <w:rsid w:val="7DA55C93"/>
    <w:rsid w:val="7DC51E91"/>
    <w:rsid w:val="7DD16A88"/>
    <w:rsid w:val="7DD722F0"/>
    <w:rsid w:val="7DFE14BE"/>
    <w:rsid w:val="7E176B90"/>
    <w:rsid w:val="7E215319"/>
    <w:rsid w:val="7E362B44"/>
    <w:rsid w:val="7E370FE0"/>
    <w:rsid w:val="7E4F632A"/>
    <w:rsid w:val="7E543940"/>
    <w:rsid w:val="7E5B128A"/>
    <w:rsid w:val="7E682F48"/>
    <w:rsid w:val="7E6F0F3C"/>
    <w:rsid w:val="7E7933A7"/>
    <w:rsid w:val="7E7E276B"/>
    <w:rsid w:val="7E9F7BA7"/>
    <w:rsid w:val="7EC363D0"/>
    <w:rsid w:val="7EC565EC"/>
    <w:rsid w:val="7EC979E4"/>
    <w:rsid w:val="7ECF2FC7"/>
    <w:rsid w:val="7EDC7492"/>
    <w:rsid w:val="7EF51050"/>
    <w:rsid w:val="7EF7251E"/>
    <w:rsid w:val="7F1430D0"/>
    <w:rsid w:val="7F147B2C"/>
    <w:rsid w:val="7F183182"/>
    <w:rsid w:val="7F196938"/>
    <w:rsid w:val="7F211C6F"/>
    <w:rsid w:val="7F2A5714"/>
    <w:rsid w:val="7F313C82"/>
    <w:rsid w:val="7F343772"/>
    <w:rsid w:val="7F3713D0"/>
    <w:rsid w:val="7F405C73"/>
    <w:rsid w:val="7F542E14"/>
    <w:rsid w:val="7F590AE3"/>
    <w:rsid w:val="7F596D35"/>
    <w:rsid w:val="7F6264B5"/>
    <w:rsid w:val="7F631975"/>
    <w:rsid w:val="7F677902"/>
    <w:rsid w:val="7F853FCE"/>
    <w:rsid w:val="7F86727B"/>
    <w:rsid w:val="7FA135F0"/>
    <w:rsid w:val="7FAE2F34"/>
    <w:rsid w:val="7FB1091F"/>
    <w:rsid w:val="7FCA378E"/>
    <w:rsid w:val="7FD412F3"/>
    <w:rsid w:val="7FD665D7"/>
    <w:rsid w:val="7FE707E4"/>
    <w:rsid w:val="7FF22B3C"/>
    <w:rsid w:val="7FF70DA6"/>
    <w:rsid w:val="7FFF07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autoRedefine/>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autoRedefine/>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autoRedefine/>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autoRedefine/>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autoRedefine/>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character" w:default="1" w:styleId="13">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8">
    <w:name w:val="footer"/>
    <w:basedOn w:val="1"/>
    <w:link w:val="15"/>
    <w:autoRedefine/>
    <w:qFormat/>
    <w:uiPriority w:val="0"/>
    <w:pPr>
      <w:tabs>
        <w:tab w:val="center" w:pos="4153"/>
        <w:tab w:val="right" w:pos="8306"/>
      </w:tabs>
      <w:snapToGrid w:val="0"/>
      <w:jc w:val="left"/>
    </w:pPr>
    <w:rPr>
      <w:sz w:val="18"/>
      <w:szCs w:val="18"/>
    </w:rPr>
  </w:style>
  <w:style w:type="paragraph" w:styleId="9">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themeColor="hyperlink"/>
      <w:u w:val="single"/>
      <w14:textFill>
        <w14:solidFill>
          <w14:schemeClr w14:val="hlink"/>
        </w14:solidFill>
      </w14:textFill>
    </w:rPr>
  </w:style>
  <w:style w:type="character" w:customStyle="1" w:styleId="15">
    <w:name w:val="页脚 字符"/>
    <w:link w:val="8"/>
    <w:autoRedefine/>
    <w:qFormat/>
    <w:uiPriority w:val="0"/>
    <w:rPr>
      <w:rFonts w:ascii="Calibri" w:hAnsi="Calibri" w:eastAsia="宋体" w:cs="Times New Roman"/>
      <w:kern w:val="2"/>
      <w:sz w:val="18"/>
      <w:szCs w:val="18"/>
    </w:rPr>
  </w:style>
  <w:style w:type="character" w:customStyle="1" w:styleId="16">
    <w:name w:val="页眉 字符"/>
    <w:link w:val="9"/>
    <w:autoRedefine/>
    <w:qFormat/>
    <w:uiPriority w:val="0"/>
    <w:rPr>
      <w:rFonts w:ascii="Calibri" w:hAnsi="Calibri" w:eastAsia="宋体" w:cs="Times New Roman"/>
      <w:kern w:val="2"/>
      <w:sz w:val="18"/>
      <w:szCs w:val="18"/>
    </w:rPr>
  </w:style>
  <w:style w:type="character" w:customStyle="1" w:styleId="17">
    <w:name w:val="_Style 8"/>
    <w:autoRedefine/>
    <w:qFormat/>
    <w:uiPriority w:val="31"/>
    <w:rPr>
      <w:smallCaps/>
      <w:color w:val="5A5A5A"/>
    </w:rPr>
  </w:style>
  <w:style w:type="paragraph" w:customStyle="1" w:styleId="18">
    <w:name w:val="Table Paragraph"/>
    <w:basedOn w:val="1"/>
    <w:autoRedefine/>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1744</Words>
  <Characters>9947</Characters>
  <Lines>82</Lines>
  <Paragraphs>23</Paragraphs>
  <TotalTime>0</TotalTime>
  <ScaleCrop>false</ScaleCrop>
  <LinksUpToDate>false</LinksUpToDate>
  <CharactersWithSpaces>11668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2023-01-29T10:12:00Z</dcterms:created>
  <dc:creator>Administrator</dc:creator>
  <cp:lastModifiedBy>妍妍</cp:lastModifiedBy>
  <cp:lastPrinted>2018-02-09T07:39:00Z</cp:lastPrinted>
  <dcterms:modified xsi:type="dcterms:W3CDTF">2024-03-21T03:11:16Z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EF7E255193C14E85AD5D282B939CFD45_13</vt:lpwstr>
  </property>
</Properties>
</file>