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color w:val="auto"/>
          <w:kern w:val="0"/>
          <w:sz w:val="32"/>
          <w:szCs w:val="32"/>
        </w:rPr>
      </w:pPr>
      <w:bookmarkStart w:id="4" w:name="_GoBack"/>
    </w:p>
    <w:p>
      <w:pPr>
        <w:rPr>
          <w:rFonts w:ascii="黑体" w:eastAsia="黑体" w:cs="ArialUnicodeMS"/>
          <w:color w:val="auto"/>
          <w:kern w:val="0"/>
          <w:sz w:val="72"/>
          <w:szCs w:val="72"/>
        </w:rPr>
      </w:pPr>
    </w:p>
    <w:p>
      <w:pPr>
        <w:rPr>
          <w:rFonts w:ascii="黑体" w:eastAsia="黑体" w:cs="ArialUnicodeMS"/>
          <w:color w:val="auto"/>
          <w:kern w:val="0"/>
          <w:sz w:val="72"/>
          <w:szCs w:val="72"/>
        </w:rPr>
      </w:pPr>
    </w:p>
    <w:p>
      <w:pPr>
        <w:jc w:val="center"/>
        <w:rPr>
          <w:rFonts w:hint="eastAsia" w:ascii="黑体" w:hAnsi="黑体" w:eastAsia="黑体" w:cs="黑体"/>
          <w:color w:val="auto"/>
          <w:kern w:val="0"/>
          <w:sz w:val="52"/>
          <w:szCs w:val="52"/>
        </w:rPr>
      </w:pPr>
      <w:r>
        <w:rPr>
          <w:rFonts w:hint="eastAsia" w:ascii="黑体" w:hAnsi="黑体" w:eastAsia="黑体" w:cs="黑体"/>
          <w:bCs/>
          <w:color w:val="auto"/>
          <w:sz w:val="52"/>
          <w:szCs w:val="52"/>
          <w:u w:val="single"/>
        </w:rPr>
        <w:t>百色市群众工作服务中心</w:t>
      </w:r>
      <w:r>
        <w:rPr>
          <w:rFonts w:ascii="黑体" w:hAnsi="黑体" w:eastAsia="黑体" w:cs="黑体"/>
          <w:color w:val="auto"/>
          <w:sz w:val="52"/>
          <w:u w:val="single" w:color="auto"/>
        </w:rPr>
        <w:t xml:space="preserve"> </w:t>
      </w:r>
      <w:r>
        <w:rPr>
          <w:rFonts w:hint="eastAsia" w:ascii="黑体" w:hAnsi="黑体" w:eastAsia="黑体" w:cs="黑体"/>
          <w:color w:val="auto"/>
          <w:kern w:val="0"/>
          <w:sz w:val="52"/>
          <w:szCs w:val="52"/>
        </w:rPr>
        <w:t>2022年度部门决算</w:t>
      </w:r>
    </w:p>
    <w:p>
      <w:pPr>
        <w:rPr>
          <w:rFonts w:ascii="方正小标宋简体" w:eastAsia="方正小标宋简体" w:cs="ArialUnicodeMS"/>
          <w:color w:val="auto"/>
          <w:kern w:val="0"/>
          <w:sz w:val="84"/>
          <w:szCs w:val="84"/>
        </w:rPr>
      </w:pP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rPr>
          <w:rFonts w:ascii="ArialUnicodeMS" w:eastAsia="ArialUnicodeMS" w:cs="ArialUnicodeMS"/>
          <w:color w:val="auto"/>
          <w:kern w:val="0"/>
          <w:sz w:val="84"/>
          <w:szCs w:val="84"/>
        </w:rPr>
      </w:pPr>
    </w:p>
    <w:p>
      <w:pPr>
        <w:jc w:val="center"/>
        <w:rPr>
          <w:rFonts w:ascii="黑体" w:eastAsia="黑体" w:cs="黑体"/>
          <w:color w:val="auto"/>
          <w:kern w:val="0"/>
          <w:sz w:val="44"/>
          <w:szCs w:val="44"/>
        </w:rPr>
      </w:pPr>
    </w:p>
    <w:p>
      <w:pPr>
        <w:pStyle w:val="6"/>
        <w:widowControl/>
        <w:spacing w:before="196" w:beforeAutospacing="0" w:after="196" w:afterAutospacing="0" w:line="540" w:lineRule="atLeast"/>
        <w:ind w:firstLine="420"/>
        <w:jc w:val="both"/>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both"/>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both"/>
        <w:rPr>
          <w:rFonts w:ascii="Arial" w:hAnsi="Arial" w:eastAsia="微软雅黑" w:cs="Arial"/>
          <w:color w:val="auto"/>
          <w:shd w:val="clear" w:color="auto" w:fill="FFFFFF"/>
        </w:rPr>
      </w:pPr>
    </w:p>
    <w:p>
      <w:pPr>
        <w:ind w:firstLine="646"/>
        <w:jc w:val="center"/>
        <w:rPr>
          <w:rFonts w:hint="eastAsia" w:ascii="黑体" w:hAnsi="黑体" w:eastAsia="黑体" w:cs="黑体"/>
          <w:b/>
          <w:color w:val="auto"/>
          <w:sz w:val="44"/>
          <w:szCs w:val="44"/>
        </w:rPr>
      </w:pPr>
      <w:r>
        <w:rPr>
          <w:rFonts w:hint="eastAsia" w:ascii="黑体" w:hAnsi="黑体" w:eastAsia="黑体" w:cs="黑体"/>
          <w:b/>
          <w:color w:val="auto"/>
          <w:sz w:val="44"/>
          <w:szCs w:val="44"/>
        </w:rPr>
        <w:t>目    录</w:t>
      </w:r>
    </w:p>
    <w:p>
      <w:pPr>
        <w:ind w:firstLine="645"/>
        <w:rPr>
          <w:rFonts w:ascii="仿宋_GB2312" w:eastAsia="仿宋_GB2312"/>
          <w:b/>
          <w:color w:val="auto"/>
          <w:sz w:val="32"/>
          <w:szCs w:val="32"/>
        </w:rPr>
      </w:pPr>
    </w:p>
    <w:p>
      <w:pPr>
        <w:ind w:firstLine="645"/>
        <w:rPr>
          <w:rFonts w:ascii="黑体" w:hAnsi="黑体" w:eastAsia="黑体"/>
          <w:color w:val="auto"/>
          <w:sz w:val="32"/>
          <w:szCs w:val="32"/>
        </w:rPr>
      </w:pPr>
      <w:r>
        <w:rPr>
          <w:rFonts w:hint="eastAsia" w:ascii="黑体" w:hAnsi="黑体" w:eastAsia="黑体"/>
          <w:color w:val="auto"/>
          <w:sz w:val="32"/>
          <w:szCs w:val="32"/>
        </w:rPr>
        <w:t>第一部分：</w:t>
      </w:r>
      <w:r>
        <w:rPr>
          <w:rFonts w:hint="eastAsia" w:ascii="黑体" w:hAnsi="黑体" w:eastAsia="黑体"/>
          <w:bCs/>
          <w:color w:val="auto"/>
          <w:sz w:val="32"/>
          <w:szCs w:val="32"/>
          <w:u w:val="single"/>
        </w:rPr>
        <w:t>百色市群众工作服务中心</w:t>
      </w:r>
      <w:r>
        <w:rPr>
          <w:rFonts w:hint="eastAsia" w:ascii="黑体" w:hAnsi="黑体" w:eastAsia="黑体"/>
          <w:color w:val="auto"/>
          <w:sz w:val="32"/>
          <w:szCs w:val="32"/>
        </w:rPr>
        <w:t>概况</w:t>
      </w:r>
    </w:p>
    <w:p>
      <w:pPr>
        <w:ind w:firstLine="645"/>
        <w:rPr>
          <w:rFonts w:hint="eastAsia" w:ascii="仿宋" w:hAnsi="仿宋" w:eastAsia="仿宋" w:cs="仿宋"/>
          <w:color w:val="auto"/>
          <w:sz w:val="32"/>
          <w:szCs w:val="32"/>
        </w:rPr>
      </w:pPr>
      <w:r>
        <w:rPr>
          <w:rFonts w:hint="eastAsia" w:ascii="仿宋" w:hAnsi="仿宋" w:eastAsia="仿宋" w:cs="仿宋"/>
          <w:color w:val="auto"/>
          <w:sz w:val="32"/>
          <w:szCs w:val="32"/>
        </w:rPr>
        <w:t>一、主要职能</w:t>
      </w:r>
    </w:p>
    <w:p>
      <w:pPr>
        <w:ind w:firstLine="645"/>
        <w:rPr>
          <w:rFonts w:ascii="仿宋_GB2312" w:eastAsia="仿宋_GB2312"/>
          <w:color w:val="auto"/>
          <w:sz w:val="32"/>
          <w:szCs w:val="32"/>
        </w:rPr>
      </w:pPr>
      <w:r>
        <w:rPr>
          <w:rFonts w:hint="eastAsia" w:ascii="仿宋" w:hAnsi="仿宋" w:eastAsia="仿宋" w:cs="仿宋"/>
          <w:color w:val="auto"/>
          <w:sz w:val="32"/>
          <w:szCs w:val="32"/>
        </w:rPr>
        <w:t>二、部门决算单位构成</w:t>
      </w:r>
    </w:p>
    <w:p>
      <w:pPr>
        <w:ind w:firstLine="645"/>
        <w:rPr>
          <w:rFonts w:ascii="黑体" w:hAnsi="黑体" w:eastAsia="黑体"/>
          <w:color w:val="auto"/>
          <w:sz w:val="32"/>
          <w:szCs w:val="32"/>
        </w:rPr>
      </w:pPr>
      <w:r>
        <w:rPr>
          <w:rFonts w:hint="eastAsia" w:ascii="黑体" w:hAnsi="黑体" w:eastAsia="黑体"/>
          <w:color w:val="auto"/>
          <w:sz w:val="32"/>
          <w:szCs w:val="32"/>
        </w:rPr>
        <w:t>第二部分：</w:t>
      </w:r>
      <w:r>
        <w:rPr>
          <w:rFonts w:hint="eastAsia" w:ascii="黑体" w:hAnsi="黑体" w:eastAsia="黑体"/>
          <w:bCs/>
          <w:color w:val="auto"/>
          <w:sz w:val="32"/>
          <w:szCs w:val="32"/>
          <w:u w:val="single"/>
        </w:rPr>
        <w:t>百色市群众工作服务中心</w:t>
      </w:r>
      <w:r>
        <w:rPr>
          <w:rFonts w:hint="eastAsia" w:ascii="黑体" w:hAnsi="黑体" w:eastAsia="黑体"/>
          <w:color w:val="auto"/>
          <w:sz w:val="32"/>
          <w:szCs w:val="32"/>
        </w:rPr>
        <w:t>2022年度部门决算报表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表一：收入支出决算总表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表二：收入决算表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表三：支出决算表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表四：财政拨款收入支出决算总表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表五：一般公共预算财政拨款支出决算表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表六：一般公共预算财政拨款基本支出决算明细表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表七：政府性基金预算财政拨款收入支出决算表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表八：国有资本经营预算财政拨款支出决算表</w:t>
      </w:r>
    </w:p>
    <w:p>
      <w:pPr>
        <w:ind w:left="645"/>
        <w:rPr>
          <w:rFonts w:hint="eastAsia" w:ascii="仿宋" w:hAnsi="仿宋" w:eastAsia="仿宋" w:cs="仿宋"/>
          <w:color w:val="auto"/>
          <w:sz w:val="32"/>
          <w:szCs w:val="32"/>
        </w:rPr>
      </w:pPr>
      <w:r>
        <w:rPr>
          <w:rFonts w:hint="eastAsia" w:ascii="仿宋" w:hAnsi="仿宋" w:eastAsia="仿宋" w:cs="仿宋"/>
          <w:color w:val="auto"/>
          <w:sz w:val="32"/>
          <w:szCs w:val="32"/>
        </w:rPr>
        <w:t>表九：一般公共预算财政拨款安排的“三公”经费支出决算表</w:t>
      </w:r>
    </w:p>
    <w:p>
      <w:pPr>
        <w:ind w:firstLine="645"/>
        <w:rPr>
          <w:rFonts w:ascii="黑体" w:hAnsi="黑体" w:eastAsia="黑体"/>
          <w:color w:val="auto"/>
          <w:sz w:val="32"/>
          <w:szCs w:val="32"/>
        </w:rPr>
      </w:pPr>
      <w:r>
        <w:rPr>
          <w:rFonts w:hint="eastAsia" w:ascii="黑体" w:hAnsi="黑体" w:eastAsia="黑体"/>
          <w:color w:val="auto"/>
          <w:sz w:val="32"/>
          <w:szCs w:val="32"/>
        </w:rPr>
        <w:t>第三部分：</w:t>
      </w:r>
      <w:r>
        <w:rPr>
          <w:rFonts w:hint="eastAsia" w:ascii="黑体" w:hAnsi="黑体" w:eastAsia="黑体"/>
          <w:bCs/>
          <w:color w:val="auto"/>
          <w:sz w:val="32"/>
          <w:szCs w:val="32"/>
          <w:u w:val="single"/>
        </w:rPr>
        <w:t>百色市群众工作服务中心</w:t>
      </w:r>
      <w:r>
        <w:rPr>
          <w:rFonts w:hint="eastAsia" w:ascii="黑体" w:hAnsi="黑体" w:eastAsia="黑体"/>
          <w:color w:val="auto"/>
          <w:sz w:val="32"/>
          <w:szCs w:val="32"/>
        </w:rPr>
        <w:t>2022年度部门决算情况说明</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一、2022年度收入支出决算总体情况。</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二、2022年度</w:t>
      </w:r>
      <w:r>
        <w:rPr>
          <w:rFonts w:hint="eastAsia" w:ascii="仿宋" w:hAnsi="仿宋" w:eastAsia="仿宋" w:cs="仿宋"/>
          <w:color w:val="auto"/>
          <w:sz w:val="32"/>
          <w:szCs w:val="32"/>
        </w:rPr>
        <w:t>一般</w:t>
      </w:r>
      <w:r>
        <w:rPr>
          <w:rFonts w:hint="eastAsia" w:ascii="仿宋" w:hAnsi="仿宋" w:eastAsia="仿宋" w:cs="仿宋"/>
          <w:color w:val="auto"/>
          <w:kern w:val="0"/>
          <w:sz w:val="32"/>
          <w:szCs w:val="32"/>
        </w:rPr>
        <w:t>公共预算财政拨款支出决算情况。</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三、2022年度一般公共预算财政拨款基本支出决算情况说明。</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四、2022年度政府性基金支出决算情况。</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五、2022年度国有资本经营预算支出决算情况。</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六、</w:t>
      </w:r>
      <w:r>
        <w:rPr>
          <w:rFonts w:hint="eastAsia" w:ascii="仿宋" w:hAnsi="仿宋" w:eastAsia="仿宋" w:cs="仿宋"/>
          <w:color w:val="auto"/>
          <w:sz w:val="32"/>
          <w:szCs w:val="32"/>
        </w:rPr>
        <w:t>一般</w:t>
      </w:r>
      <w:r>
        <w:rPr>
          <w:rFonts w:hint="eastAsia" w:ascii="仿宋" w:hAnsi="仿宋" w:eastAsia="仿宋" w:cs="仿宋"/>
          <w:color w:val="auto"/>
          <w:kern w:val="0"/>
          <w:sz w:val="32"/>
          <w:szCs w:val="32"/>
        </w:rPr>
        <w:t>公共预算财政拨款安排的“三公”经费支出决算情况说明。</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七、其他重要事项情况说明。</w:t>
      </w:r>
    </w:p>
    <w:p>
      <w:pPr>
        <w:autoSpaceDE w:val="0"/>
        <w:autoSpaceDN w:val="0"/>
        <w:adjustRightInd w:val="0"/>
        <w:ind w:firstLine="640" w:firstLineChars="200"/>
        <w:jc w:val="left"/>
        <w:rPr>
          <w:rFonts w:hint="eastAsia" w:ascii="仿宋" w:hAnsi="仿宋" w:eastAsia="仿宋" w:cs="仿宋"/>
          <w:color w:val="auto"/>
          <w:kern w:val="0"/>
          <w:sz w:val="32"/>
          <w:szCs w:val="32"/>
        </w:rPr>
      </w:pPr>
      <w:r>
        <w:rPr>
          <w:rFonts w:hint="eastAsia" w:ascii="仿宋" w:hAnsi="仿宋" w:eastAsia="仿宋" w:cs="仿宋"/>
          <w:color w:val="auto"/>
          <w:kern w:val="0"/>
          <w:sz w:val="32"/>
          <w:szCs w:val="32"/>
        </w:rPr>
        <w:t>八、预算绩效管理工作开展情况。</w:t>
      </w:r>
    </w:p>
    <w:p>
      <w:pPr>
        <w:ind w:firstLine="645"/>
        <w:rPr>
          <w:rFonts w:ascii="黑体" w:hAnsi="黑体" w:eastAsia="黑体"/>
          <w:color w:val="auto"/>
          <w:sz w:val="32"/>
          <w:szCs w:val="32"/>
        </w:rPr>
      </w:pPr>
      <w:r>
        <w:rPr>
          <w:rFonts w:ascii="黑体" w:hAnsi="黑体" w:eastAsia="黑体"/>
          <w:color w:val="auto"/>
          <w:sz w:val="32"/>
          <w:szCs w:val="32"/>
        </w:rPr>
        <w:t>第四部分:名词解释</w:t>
      </w: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pStyle w:val="6"/>
        <w:widowControl/>
        <w:spacing w:before="196" w:beforeAutospacing="0" w:after="196" w:afterAutospacing="0" w:line="540" w:lineRule="atLeast"/>
        <w:ind w:firstLine="420"/>
        <w:jc w:val="center"/>
        <w:rPr>
          <w:rFonts w:ascii="Arial" w:hAnsi="Arial" w:eastAsia="微软雅黑" w:cs="Arial"/>
          <w:color w:val="auto"/>
          <w:shd w:val="clear" w:color="auto" w:fill="FFFFFF"/>
        </w:rPr>
      </w:pPr>
    </w:p>
    <w:p>
      <w:pPr>
        <w:ind w:firstLine="646"/>
        <w:jc w:val="center"/>
        <w:rPr>
          <w:rFonts w:ascii="黑体" w:hAnsi="黑体" w:eastAsia="黑体"/>
          <w:color w:val="auto"/>
          <w:sz w:val="32"/>
          <w:szCs w:val="32"/>
        </w:rPr>
      </w:pPr>
      <w:r>
        <w:rPr>
          <w:rFonts w:hint="eastAsia" w:ascii="黑体" w:hAnsi="黑体" w:eastAsia="黑体"/>
          <w:color w:val="auto"/>
          <w:sz w:val="32"/>
          <w:szCs w:val="32"/>
        </w:rPr>
        <w:t>第一部分：</w:t>
      </w:r>
      <w:r>
        <w:rPr>
          <w:rFonts w:hint="eastAsia" w:ascii="黑体" w:hAnsi="黑体" w:eastAsia="黑体"/>
          <w:bCs/>
          <w:color w:val="auto"/>
          <w:sz w:val="32"/>
          <w:szCs w:val="32"/>
          <w:u w:val="single"/>
        </w:rPr>
        <w:t>百色市群众工作服务中心</w:t>
      </w:r>
      <w:r>
        <w:rPr>
          <w:rFonts w:hint="eastAsia" w:ascii="黑体" w:hAnsi="黑体" w:eastAsia="黑体"/>
          <w:bCs/>
          <w:color w:val="auto"/>
          <w:sz w:val="32"/>
          <w:szCs w:val="32"/>
        </w:rPr>
        <w:t>（</w:t>
      </w:r>
      <w:r>
        <w:rPr>
          <w:rFonts w:hint="eastAsia" w:ascii="黑体" w:hAnsi="黑体" w:eastAsia="黑体"/>
          <w:color w:val="auto"/>
          <w:sz w:val="32"/>
          <w:szCs w:val="32"/>
        </w:rPr>
        <w:t>概况</w:t>
      </w:r>
    </w:p>
    <w:p>
      <w:pPr>
        <w:ind w:firstLine="646"/>
        <w:rPr>
          <w:rFonts w:ascii="黑体" w:hAnsi="黑体" w:eastAsia="黑体"/>
          <w:color w:val="auto"/>
          <w:sz w:val="32"/>
          <w:szCs w:val="32"/>
        </w:rPr>
      </w:pPr>
      <w:r>
        <w:rPr>
          <w:rFonts w:hint="eastAsia" w:ascii="黑体" w:hAnsi="黑体" w:eastAsia="黑体"/>
          <w:color w:val="auto"/>
          <w:sz w:val="32"/>
          <w:szCs w:val="32"/>
        </w:rPr>
        <w:t>一、主要职能</w:t>
      </w:r>
    </w:p>
    <w:p>
      <w:pPr>
        <w:ind w:firstLine="646"/>
        <w:rPr>
          <w:rFonts w:hint="eastAsia" w:ascii="仿宋" w:hAnsi="仿宋" w:eastAsia="仿宋" w:cs="仿宋"/>
          <w:b w:val="0"/>
          <w:bCs w:val="0"/>
          <w:color w:val="auto"/>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负责承担市本级集中接待受理、直接调处、协调指导、监督查处来访事项的综合服务工作；提供登记、接访、办理、督办等“一站式”服务管理，履行接谈受理、督办直查、情况综合、梳理立档等工作职责，保证一般信访事项能在中心当场解决；组织市直相关部门派驻中心处理本部门为责任主体的信访事项，协调处理市直相关部门系统管辖的可在中心内处理的信访事项，负责对市直相关部门系统信访问题转行政复议、仲裁、民事诉讼的进行引导并协调相关部门立案受理；授权依法处理无理闹访、缠访、诈访和煽访等行为，维护中心的日常信访工作秩序。</w:t>
      </w:r>
    </w:p>
    <w:p>
      <w:pPr>
        <w:ind w:firstLine="646"/>
        <w:rPr>
          <w:rFonts w:ascii="黑体" w:hAnsi="黑体" w:eastAsia="黑体"/>
          <w:color w:val="auto"/>
          <w:sz w:val="32"/>
          <w:szCs w:val="32"/>
        </w:rPr>
      </w:pPr>
      <w:r>
        <w:rPr>
          <w:rFonts w:hint="eastAsia" w:ascii="黑体" w:hAnsi="黑体" w:eastAsia="黑体"/>
          <w:color w:val="auto"/>
          <w:sz w:val="32"/>
          <w:szCs w:val="32"/>
        </w:rPr>
        <w:t>二、部门决算单位构成</w:t>
      </w:r>
    </w:p>
    <w:p>
      <w:pPr>
        <w:ind w:firstLine="645"/>
        <w:rPr>
          <w:rFonts w:hint="eastAsia" w:ascii="方正仿宋_GB2312" w:hAnsi="方正仿宋_GB2312" w:eastAsia="方正仿宋_GB2312" w:cs="方正仿宋_GB2312"/>
          <w:color w:val="auto"/>
          <w:lang w:val="en-US"/>
        </w:rPr>
        <w:sectPr>
          <w:pgSz w:w="11906" w:h="16838"/>
          <w:pgMar w:top="1440" w:right="1800" w:bottom="1440" w:left="1800" w:header="851" w:footer="992" w:gutter="0"/>
          <w:cols w:space="425" w:num="1"/>
          <w:docGrid w:type="lines" w:linePitch="312" w:charSpace="0"/>
        </w:sectPr>
      </w:pPr>
      <w:r>
        <w:rPr>
          <w:rFonts w:hint="eastAsia" w:ascii="方正仿宋_GB2312" w:hAnsi="方正仿宋_GB2312" w:eastAsia="方正仿宋_GB2312" w:cs="方正仿宋_GB2312"/>
          <w:i w:val="0"/>
          <w:iCs w:val="0"/>
          <w:caps w:val="0"/>
          <w:color w:val="auto"/>
          <w:spacing w:val="0"/>
          <w:sz w:val="31"/>
          <w:szCs w:val="31"/>
          <w:shd w:val="clear" w:fill="FFFFFF"/>
          <w:vertAlign w:val="baseline"/>
          <w:lang w:val="en-US" w:eastAsia="zh-CN"/>
        </w:rPr>
        <w:t>百色市群众工作服务中心，是中共百色市委员会百色</w:t>
      </w:r>
      <w:r>
        <w:rPr>
          <w:rFonts w:hint="eastAsia" w:ascii="方正仿宋_GB2312" w:hAnsi="方正仿宋_GB2312" w:eastAsia="方正仿宋_GB2312" w:cs="方正仿宋_GB2312"/>
          <w:i w:val="0"/>
          <w:iCs w:val="0"/>
          <w:caps w:val="0"/>
          <w:color w:val="auto"/>
          <w:spacing w:val="0"/>
          <w:sz w:val="31"/>
          <w:szCs w:val="31"/>
          <w:shd w:val="clear" w:fill="FFFFFF"/>
          <w:vertAlign w:val="baseline"/>
        </w:rPr>
        <w:t>市人民政府信访局</w:t>
      </w:r>
      <w:r>
        <w:rPr>
          <w:rFonts w:hint="eastAsia" w:ascii="方正仿宋_GB2312" w:hAnsi="方正仿宋_GB2312" w:eastAsia="方正仿宋_GB2312" w:cs="方正仿宋_GB2312"/>
          <w:i w:val="0"/>
          <w:iCs w:val="0"/>
          <w:caps w:val="0"/>
          <w:color w:val="auto"/>
          <w:spacing w:val="0"/>
          <w:sz w:val="31"/>
          <w:szCs w:val="31"/>
          <w:shd w:val="clear" w:fill="FFFFFF"/>
          <w:vertAlign w:val="baseline"/>
          <w:lang w:eastAsia="zh-CN"/>
        </w:rPr>
        <w:t>（</w:t>
      </w:r>
      <w:r>
        <w:rPr>
          <w:rFonts w:hint="eastAsia" w:ascii="方正仿宋_GB2312" w:hAnsi="方正仿宋_GB2312" w:eastAsia="方正仿宋_GB2312" w:cs="方正仿宋_GB2312"/>
          <w:i w:val="0"/>
          <w:iCs w:val="0"/>
          <w:caps w:val="0"/>
          <w:color w:val="auto"/>
          <w:spacing w:val="0"/>
          <w:sz w:val="31"/>
          <w:szCs w:val="31"/>
          <w:shd w:val="clear" w:fill="FFFFFF"/>
          <w:vertAlign w:val="baseline"/>
          <w:lang w:val="en-US" w:eastAsia="zh-CN"/>
        </w:rPr>
        <w:t>以下简称信访局</w:t>
      </w:r>
      <w:r>
        <w:rPr>
          <w:rFonts w:hint="eastAsia" w:ascii="方正仿宋_GB2312" w:hAnsi="方正仿宋_GB2312" w:eastAsia="方正仿宋_GB2312" w:cs="方正仿宋_GB2312"/>
          <w:i w:val="0"/>
          <w:iCs w:val="0"/>
          <w:caps w:val="0"/>
          <w:color w:val="auto"/>
          <w:spacing w:val="0"/>
          <w:sz w:val="31"/>
          <w:szCs w:val="31"/>
          <w:shd w:val="clear" w:fill="FFFFFF"/>
          <w:vertAlign w:val="baseline"/>
          <w:lang w:eastAsia="zh-CN"/>
        </w:rPr>
        <w:t>）</w:t>
      </w:r>
      <w:r>
        <w:rPr>
          <w:rFonts w:hint="eastAsia" w:ascii="方正仿宋_GB2312" w:hAnsi="方正仿宋_GB2312" w:eastAsia="方正仿宋_GB2312" w:cs="方正仿宋_GB2312"/>
          <w:i w:val="0"/>
          <w:iCs w:val="0"/>
          <w:caps w:val="0"/>
          <w:color w:val="auto"/>
          <w:spacing w:val="0"/>
          <w:sz w:val="31"/>
          <w:szCs w:val="31"/>
          <w:shd w:val="clear" w:fill="FFFFFF"/>
          <w:vertAlign w:val="baseline"/>
          <w:lang w:val="en-US" w:eastAsia="zh-CN"/>
        </w:rPr>
        <w:t>的二层机关，属公益一类事业单位。2022年开始纳入部门决算汇编范围，属于二级核算单位。</w:t>
      </w:r>
    </w:p>
    <w:p>
      <w:pPr>
        <w:ind w:firstLine="645"/>
        <w:rPr>
          <w:color w:val="auto"/>
        </w:rPr>
        <w:sectPr>
          <w:pgSz w:w="11906" w:h="16838"/>
          <w:pgMar w:top="1440" w:right="1800" w:bottom="1440" w:left="1800" w:header="851" w:footer="992" w:gutter="0"/>
          <w:cols w:space="425" w:num="1"/>
          <w:docGrid w:type="lines" w:linePitch="312" w:charSpace="0"/>
        </w:sectPr>
      </w:pPr>
    </w:p>
    <w:p>
      <w:pPr>
        <w:jc w:val="both"/>
        <w:rPr>
          <w:rFonts w:ascii="黑体" w:hAnsi="黑体" w:eastAsia="黑体"/>
          <w:color w:val="auto"/>
          <w:sz w:val="32"/>
          <w:szCs w:val="32"/>
        </w:rPr>
      </w:pPr>
      <w:r>
        <w:rPr>
          <w:rFonts w:hint="eastAsia" w:ascii="黑体" w:hAnsi="黑体" w:eastAsia="黑体"/>
          <w:color w:val="auto"/>
          <w:sz w:val="32"/>
          <w:szCs w:val="32"/>
        </w:rPr>
        <w:t>第二部分：</w:t>
      </w:r>
      <w:r>
        <w:rPr>
          <w:rFonts w:hint="eastAsia" w:ascii="黑体" w:hAnsi="黑体" w:eastAsia="黑体"/>
          <w:bCs/>
          <w:color w:val="auto"/>
          <w:sz w:val="32"/>
          <w:szCs w:val="32"/>
          <w:u w:val="single"/>
        </w:rPr>
        <w:t>百色市群众工作服务中心</w:t>
      </w:r>
      <w:r>
        <w:rPr>
          <w:rFonts w:hint="eastAsia" w:ascii="黑体" w:hAnsi="黑体" w:eastAsia="黑体"/>
          <w:color w:val="auto"/>
          <w:sz w:val="32"/>
          <w:szCs w:val="32"/>
        </w:rPr>
        <w:t xml:space="preserve"> 2022年度部门决算报表</w:t>
      </w:r>
    </w:p>
    <w:tbl>
      <w:tblPr>
        <w:tblStyle w:val="7"/>
        <w:tblW w:w="13940" w:type="dxa"/>
        <w:tblInd w:w="96" w:type="dxa"/>
        <w:tblLayout w:type="fixed"/>
        <w:tblCellMar>
          <w:top w:w="0" w:type="dxa"/>
          <w:left w:w="108" w:type="dxa"/>
          <w:bottom w:w="0" w:type="dxa"/>
          <w:right w:w="108" w:type="dxa"/>
        </w:tblCellMar>
      </w:tblPr>
      <w:tblGrid>
        <w:gridCol w:w="2543"/>
        <w:gridCol w:w="2393"/>
        <w:gridCol w:w="2231"/>
        <w:gridCol w:w="2669"/>
        <w:gridCol w:w="2202"/>
        <w:gridCol w:w="1902"/>
      </w:tblGrid>
      <w:tr>
        <w:tblPrEx>
          <w:tblCellMar>
            <w:top w:w="0" w:type="dxa"/>
            <w:left w:w="108" w:type="dxa"/>
            <w:bottom w:w="0" w:type="dxa"/>
            <w:right w:w="108" w:type="dxa"/>
          </w:tblCellMar>
        </w:tblPrEx>
        <w:trPr>
          <w:trHeight w:val="902" w:hRule="atLeast"/>
        </w:trPr>
        <w:tc>
          <w:tcPr>
            <w:tcW w:w="13940" w:type="dxa"/>
            <w:gridSpan w:val="6"/>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表一：收入支出决算总表</w:t>
            </w:r>
          </w:p>
          <w:p>
            <w:pPr>
              <w:keepNext w:val="0"/>
              <w:keepLines w:val="0"/>
              <w:suppressLineNumbers w:val="0"/>
              <w:spacing w:before="0" w:beforeAutospacing="0" w:after="0" w:afterAutospacing="0"/>
              <w:ind w:left="0" w:right="0"/>
              <w:jc w:val="left"/>
              <w:rPr>
                <w:rFonts w:hint="default" w:ascii="仿宋" w:hAnsi="仿宋" w:eastAsia="仿宋" w:cs="仿宋"/>
                <w:color w:val="auto"/>
                <w:sz w:val="24"/>
                <w:highlight w:val="none"/>
              </w:rPr>
            </w:pPr>
          </w:p>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收入支出决算总表</w:t>
            </w:r>
          </w:p>
        </w:tc>
      </w:tr>
      <w:tr>
        <w:tblPrEx>
          <w:tblCellMar>
            <w:top w:w="0" w:type="dxa"/>
            <w:left w:w="108" w:type="dxa"/>
            <w:bottom w:w="0" w:type="dxa"/>
            <w:right w:w="108" w:type="dxa"/>
          </w:tblCellMar>
        </w:tblPrEx>
        <w:trPr>
          <w:trHeight w:val="301" w:hRule="atLeast"/>
        </w:trPr>
        <w:tc>
          <w:tcPr>
            <w:tcW w:w="254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9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231"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669"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202"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02"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公开01表</w:t>
            </w:r>
          </w:p>
        </w:tc>
      </w:tr>
      <w:tr>
        <w:tblPrEx>
          <w:tblCellMar>
            <w:top w:w="0" w:type="dxa"/>
            <w:left w:w="108" w:type="dxa"/>
            <w:bottom w:w="0" w:type="dxa"/>
            <w:right w:w="108" w:type="dxa"/>
          </w:tblCellMar>
        </w:tblPrEx>
        <w:trPr>
          <w:trHeight w:val="301" w:hRule="atLeast"/>
        </w:trPr>
        <w:tc>
          <w:tcPr>
            <w:tcW w:w="7167" w:type="dxa"/>
            <w:gridSpan w:val="3"/>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百色市群众工作服务中心</w:t>
            </w:r>
          </w:p>
        </w:tc>
        <w:tc>
          <w:tcPr>
            <w:tcW w:w="2669"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202"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02" w:type="dxa"/>
            <w:tcBorders>
              <w:top w:val="nil"/>
              <w:left w:val="nil"/>
              <w:bottom w:val="single" w:color="auto" w:sz="4" w:space="0"/>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15" w:hRule="atLeast"/>
        </w:trPr>
        <w:tc>
          <w:tcPr>
            <w:tcW w:w="7167"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收入</w:t>
            </w:r>
          </w:p>
        </w:tc>
        <w:tc>
          <w:tcPr>
            <w:tcW w:w="677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支出</w:t>
            </w:r>
          </w:p>
        </w:tc>
      </w:tr>
      <w:tr>
        <w:tblPrEx>
          <w:tblCellMar>
            <w:top w:w="0" w:type="dxa"/>
            <w:left w:w="108" w:type="dxa"/>
            <w:bottom w:w="0" w:type="dxa"/>
            <w:right w:w="108" w:type="dxa"/>
          </w:tblCellMar>
        </w:tblPrEx>
        <w:trPr>
          <w:trHeight w:val="315"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行次</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金额</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行次</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金额</w:t>
            </w:r>
          </w:p>
        </w:tc>
      </w:tr>
      <w:tr>
        <w:tblPrEx>
          <w:tblCellMar>
            <w:top w:w="0" w:type="dxa"/>
            <w:left w:w="108" w:type="dxa"/>
            <w:bottom w:w="0" w:type="dxa"/>
            <w:right w:w="108" w:type="dxa"/>
          </w:tblCellMar>
        </w:tblPrEx>
        <w:trPr>
          <w:trHeight w:val="315"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一、一般公共预算财政拨款收入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128.93</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一、一般公共服务支出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32</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二、政府性基金预算财政拨款收入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二、外交支出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33</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三、国有资本经营预算财政拨款收入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三、国防支出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34</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四、上级补助收入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4</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四、公共安全支出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35</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五、事业收入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5</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五、教育支出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36</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六、经营收入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6</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六、科学技术支出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37</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七、附属单位上缴收入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7</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七、文化旅游体育与传媒支出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38</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八、其他收入</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8</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八、社会保障和就业支出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13.93</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9</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九、卫生健康支出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40</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3.91</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十、节能环保支出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41</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11</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十一、城乡社区支出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42</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12</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十二、农林水支出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43</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十三、交通运输支出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44</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14</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十四、资源勘探工业信息等支出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45</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15</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十五、商业服务业等支出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46</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16</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十六、金融支出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47</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17</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十七、援助其他地区支出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48</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18</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十八、自然资源海洋气象等支出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49</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19</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十九、住房保障支出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50</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10.45</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20</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二十、粮油物资储备支出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51</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21</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二十一、国有资本经营预算支出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52</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22</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二十二、灾害防治及应急管理支出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53</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23</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二十三、其他支出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54</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24</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二十四、债务还本支出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55</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25</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二十五、债务付息支出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56</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26</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二十六、抗疫特别国债安排的支出</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57</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本年收入合计</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27</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128.93</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本年支出合计</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58</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128.93</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使用非财政拨款结余</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28</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结余分配</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59</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年初结转和结余</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29</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年末结转和结余</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60</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30</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61</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34" w:hRule="atLeast"/>
        </w:trPr>
        <w:tc>
          <w:tcPr>
            <w:tcW w:w="254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highlight w:val="none"/>
              </w:rPr>
            </w:pPr>
            <w:r>
              <w:rPr>
                <w:rFonts w:hint="eastAsia"/>
                <w:color w:val="auto"/>
                <w:highlight w:val="none"/>
              </w:rPr>
              <w:t>总计</w:t>
            </w:r>
          </w:p>
        </w:tc>
        <w:tc>
          <w:tcPr>
            <w:tcW w:w="239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31</w:t>
            </w:r>
          </w:p>
        </w:tc>
        <w:tc>
          <w:tcPr>
            <w:tcW w:w="223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128.93</w:t>
            </w:r>
          </w:p>
        </w:tc>
        <w:tc>
          <w:tcPr>
            <w:tcW w:w="26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总计</w:t>
            </w:r>
          </w:p>
        </w:tc>
        <w:tc>
          <w:tcPr>
            <w:tcW w:w="22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62</w:t>
            </w:r>
          </w:p>
        </w:tc>
        <w:tc>
          <w:tcPr>
            <w:tcW w:w="19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128.93</w:t>
            </w:r>
          </w:p>
        </w:tc>
      </w:tr>
    </w:tbl>
    <w:p>
      <w:pPr>
        <w:rPr>
          <w:rFonts w:ascii="宋体" w:hAnsi="宋体" w:eastAsia="宋体" w:cs="宋体"/>
          <w:color w:val="auto"/>
          <w:kern w:val="0"/>
          <w:sz w:val="30"/>
          <w:szCs w:val="30"/>
          <w:highlight w:val="none"/>
          <w:lang w:bidi="ar"/>
        </w:rPr>
      </w:pPr>
      <w:r>
        <w:rPr>
          <w:rFonts w:hint="eastAsia" w:ascii="宋体" w:hAnsi="宋体" w:eastAsia="宋体" w:cs="宋体"/>
          <w:color w:val="auto"/>
          <w:kern w:val="0"/>
          <w:sz w:val="30"/>
          <w:szCs w:val="30"/>
          <w:highlight w:val="none"/>
          <w:lang w:bidi="ar"/>
        </w:rPr>
        <w:br w:type="page"/>
      </w:r>
    </w:p>
    <w:tbl>
      <w:tblPr>
        <w:tblStyle w:val="7"/>
        <w:tblW w:w="13960" w:type="dxa"/>
        <w:tblInd w:w="96" w:type="dxa"/>
        <w:tblLayout w:type="fixed"/>
        <w:tblCellMar>
          <w:top w:w="0" w:type="dxa"/>
          <w:left w:w="108" w:type="dxa"/>
          <w:bottom w:w="0" w:type="dxa"/>
          <w:right w:w="108" w:type="dxa"/>
        </w:tblCellMar>
      </w:tblPr>
      <w:tblGrid>
        <w:gridCol w:w="1584"/>
        <w:gridCol w:w="1378"/>
        <w:gridCol w:w="236"/>
        <w:gridCol w:w="236"/>
        <w:gridCol w:w="524"/>
        <w:gridCol w:w="1520"/>
        <w:gridCol w:w="1453"/>
        <w:gridCol w:w="1373"/>
        <w:gridCol w:w="1467"/>
        <w:gridCol w:w="1480"/>
        <w:gridCol w:w="1440"/>
        <w:gridCol w:w="1269"/>
      </w:tblGrid>
      <w:tr>
        <w:tblPrEx>
          <w:tblCellMar>
            <w:top w:w="0" w:type="dxa"/>
            <w:left w:w="108" w:type="dxa"/>
            <w:bottom w:w="0" w:type="dxa"/>
            <w:right w:w="108" w:type="dxa"/>
          </w:tblCellMar>
        </w:tblPrEx>
        <w:trPr>
          <w:trHeight w:val="951" w:hRule="atLeast"/>
        </w:trPr>
        <w:tc>
          <w:tcPr>
            <w:tcW w:w="13960" w:type="dxa"/>
            <w:gridSpan w:val="1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表二：收入决算表</w:t>
            </w:r>
          </w:p>
          <w:p>
            <w:pPr>
              <w:keepNext w:val="0"/>
              <w:keepLines w:val="0"/>
              <w:suppressLineNumbers w:val="0"/>
              <w:spacing w:before="0" w:beforeAutospacing="0" w:after="0" w:afterAutospacing="0"/>
              <w:ind w:left="0" w:right="0"/>
              <w:jc w:val="left"/>
              <w:rPr>
                <w:rFonts w:hint="default" w:ascii="仿宋" w:hAnsi="仿宋" w:eastAsia="仿宋" w:cs="仿宋"/>
                <w:color w:val="auto"/>
                <w:sz w:val="24"/>
                <w:highlight w:val="none"/>
              </w:rPr>
            </w:pPr>
          </w:p>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收入决算表</w:t>
            </w:r>
          </w:p>
        </w:tc>
      </w:tr>
      <w:tr>
        <w:tblPrEx>
          <w:tblCellMar>
            <w:top w:w="0" w:type="dxa"/>
            <w:left w:w="108" w:type="dxa"/>
            <w:bottom w:w="0" w:type="dxa"/>
            <w:right w:w="108" w:type="dxa"/>
          </w:tblCellMar>
        </w:tblPrEx>
        <w:trPr>
          <w:trHeight w:val="317" w:hRule="atLeast"/>
        </w:trPr>
        <w:tc>
          <w:tcPr>
            <w:tcW w:w="2962" w:type="dxa"/>
            <w:gridSpan w:val="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524"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52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5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37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6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8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709" w:type="dxa"/>
            <w:gridSpan w:val="2"/>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公开02表</w:t>
            </w:r>
          </w:p>
        </w:tc>
      </w:tr>
      <w:tr>
        <w:tblPrEx>
          <w:tblCellMar>
            <w:top w:w="0" w:type="dxa"/>
            <w:left w:w="108" w:type="dxa"/>
            <w:bottom w:w="0" w:type="dxa"/>
            <w:right w:w="108" w:type="dxa"/>
          </w:tblCellMar>
        </w:tblPrEx>
        <w:trPr>
          <w:trHeight w:val="317" w:hRule="atLeast"/>
        </w:trPr>
        <w:tc>
          <w:tcPr>
            <w:tcW w:w="6931" w:type="dxa"/>
            <w:gridSpan w:val="7"/>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百色市群众工作服务中心</w:t>
            </w:r>
          </w:p>
        </w:tc>
        <w:tc>
          <w:tcPr>
            <w:tcW w:w="1373"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67"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80"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709" w:type="dxa"/>
            <w:gridSpan w:val="2"/>
            <w:tcBorders>
              <w:top w:val="nil"/>
              <w:left w:val="nil"/>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27" w:hRule="atLeast"/>
        </w:trPr>
        <w:tc>
          <w:tcPr>
            <w:tcW w:w="395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152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本年收入合计</w:t>
            </w:r>
          </w:p>
        </w:tc>
        <w:tc>
          <w:tcPr>
            <w:tcW w:w="14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财政拨款收入</w:t>
            </w:r>
          </w:p>
        </w:tc>
        <w:tc>
          <w:tcPr>
            <w:tcW w:w="13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上级补助收入</w:t>
            </w:r>
          </w:p>
        </w:tc>
        <w:tc>
          <w:tcPr>
            <w:tcW w:w="146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事业收入</w:t>
            </w:r>
          </w:p>
        </w:tc>
        <w:tc>
          <w:tcPr>
            <w:tcW w:w="14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经营收入</w:t>
            </w:r>
          </w:p>
        </w:tc>
        <w:tc>
          <w:tcPr>
            <w:tcW w:w="144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附属单位上缴收入</w:t>
            </w:r>
          </w:p>
        </w:tc>
        <w:tc>
          <w:tcPr>
            <w:tcW w:w="126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Cs w:val="21"/>
                <w:highlight w:val="none"/>
              </w:rPr>
            </w:pPr>
            <w:r>
              <w:rPr>
                <w:rFonts w:hint="eastAsia" w:ascii="宋体" w:hAnsi="宋体" w:eastAsia="宋体" w:cs="宋体"/>
                <w:color w:val="auto"/>
                <w:kern w:val="0"/>
                <w:szCs w:val="21"/>
                <w:highlight w:val="none"/>
                <w:lang w:bidi="ar"/>
              </w:rPr>
              <w:t>其他收入</w:t>
            </w:r>
          </w:p>
        </w:tc>
      </w:tr>
      <w:tr>
        <w:tblPrEx>
          <w:tblCellMar>
            <w:top w:w="0" w:type="dxa"/>
            <w:left w:w="108" w:type="dxa"/>
            <w:bottom w:w="0" w:type="dxa"/>
            <w:right w:w="108" w:type="dxa"/>
          </w:tblCellMar>
        </w:tblPrEx>
        <w:trPr>
          <w:trHeight w:val="327" w:hRule="atLeast"/>
        </w:trPr>
        <w:tc>
          <w:tcPr>
            <w:tcW w:w="15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功能分类科目编码</w:t>
            </w:r>
          </w:p>
        </w:tc>
        <w:tc>
          <w:tcPr>
            <w:tcW w:w="2374" w:type="dxa"/>
            <w:gridSpan w:val="4"/>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5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2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27" w:hRule="atLeast"/>
        </w:trPr>
        <w:tc>
          <w:tcPr>
            <w:tcW w:w="158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374"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5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2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27" w:hRule="atLeast"/>
        </w:trPr>
        <w:tc>
          <w:tcPr>
            <w:tcW w:w="158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374"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52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6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4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2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27" w:hRule="atLeast"/>
        </w:trPr>
        <w:tc>
          <w:tcPr>
            <w:tcW w:w="395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15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14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13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c>
          <w:tcPr>
            <w:tcW w:w="146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1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1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c>
          <w:tcPr>
            <w:tcW w:w="126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7</w:t>
            </w:r>
          </w:p>
        </w:tc>
      </w:tr>
      <w:tr>
        <w:tblPrEx>
          <w:tblCellMar>
            <w:top w:w="0" w:type="dxa"/>
            <w:left w:w="108" w:type="dxa"/>
            <w:bottom w:w="0" w:type="dxa"/>
            <w:right w:w="108" w:type="dxa"/>
          </w:tblCellMar>
        </w:tblPrEx>
        <w:trPr>
          <w:trHeight w:val="961" w:hRule="atLeast"/>
        </w:trPr>
        <w:tc>
          <w:tcPr>
            <w:tcW w:w="395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128.93</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128.93</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一般公共服务支出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政府办公厅（室）及相关机构事务</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2010350</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事业运行</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社会保障和就业支出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13.93</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13.93</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行政事业单位养老支出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13.93</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13.93</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2080501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行政单位离退休</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13.93</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13.93</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卫生健康支出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3.91</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3.91</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21011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行政事业单位医疗</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3.91</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3.91</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2101101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行政单位医疗</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3.91</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3.91</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住房保障支出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10.45</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10.45</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22102</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住房改革支出</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10.45</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10.45</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2210201</w:t>
            </w:r>
          </w:p>
        </w:tc>
        <w:tc>
          <w:tcPr>
            <w:tcW w:w="2374"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住房公积金</w:t>
            </w:r>
          </w:p>
        </w:tc>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10.45</w:t>
            </w:r>
          </w:p>
        </w:tc>
        <w:tc>
          <w:tcPr>
            <w:tcW w:w="14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10.45</w:t>
            </w:r>
          </w:p>
        </w:tc>
        <w:tc>
          <w:tcPr>
            <w:tcW w:w="13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6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26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7" w:hRule="atLeast"/>
        </w:trPr>
        <w:tc>
          <w:tcPr>
            <w:tcW w:w="13960" w:type="dxa"/>
            <w:gridSpan w:val="12"/>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注：本表反映部门本年度取得的各项收入情况。</w:t>
            </w:r>
          </w:p>
        </w:tc>
      </w:tr>
    </w:tbl>
    <w:p>
      <w:pPr>
        <w:jc w:val="center"/>
        <w:rPr>
          <w:rFonts w:ascii="仿宋" w:hAnsi="仿宋" w:eastAsia="仿宋" w:cs="仿宋"/>
          <w:color w:val="auto"/>
          <w:sz w:val="24"/>
          <w:highlight w:val="none"/>
        </w:rPr>
      </w:pPr>
    </w:p>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center"/>
        <w:rPr>
          <w:rFonts w:ascii="仿宋" w:hAnsi="仿宋" w:eastAsia="仿宋" w:cs="仿宋"/>
          <w:color w:val="auto"/>
          <w:sz w:val="24"/>
          <w:highlight w:val="none"/>
        </w:rPr>
      </w:pP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表三：支出决算表</w:t>
      </w:r>
    </w:p>
    <w:p>
      <w:pPr>
        <w:jc w:val="left"/>
        <w:rPr>
          <w:rFonts w:hint="eastAsia" w:ascii="仿宋" w:hAnsi="仿宋" w:eastAsia="仿宋" w:cs="仿宋"/>
          <w:color w:val="auto"/>
          <w:sz w:val="24"/>
          <w:highlight w:val="none"/>
        </w:rPr>
      </w:pPr>
    </w:p>
    <w:tbl>
      <w:tblPr>
        <w:tblStyle w:val="7"/>
        <w:tblW w:w="13980" w:type="dxa"/>
        <w:tblInd w:w="96" w:type="dxa"/>
        <w:tblLayout w:type="fixed"/>
        <w:tblCellMar>
          <w:top w:w="0" w:type="dxa"/>
          <w:left w:w="108" w:type="dxa"/>
          <w:bottom w:w="0" w:type="dxa"/>
          <w:right w:w="108" w:type="dxa"/>
        </w:tblCellMar>
      </w:tblPr>
      <w:tblGrid>
        <w:gridCol w:w="1142"/>
        <w:gridCol w:w="237"/>
        <w:gridCol w:w="239"/>
        <w:gridCol w:w="64"/>
        <w:gridCol w:w="2222"/>
        <w:gridCol w:w="1627"/>
        <w:gridCol w:w="1680"/>
        <w:gridCol w:w="1760"/>
        <w:gridCol w:w="1653"/>
        <w:gridCol w:w="1654"/>
        <w:gridCol w:w="1702"/>
      </w:tblGrid>
      <w:tr>
        <w:tblPrEx>
          <w:tblCellMar>
            <w:top w:w="0" w:type="dxa"/>
            <w:left w:w="108" w:type="dxa"/>
            <w:bottom w:w="0" w:type="dxa"/>
            <w:right w:w="108" w:type="dxa"/>
          </w:tblCellMar>
        </w:tblPrEx>
        <w:trPr>
          <w:trHeight w:val="623" w:hRule="atLeast"/>
        </w:trPr>
        <w:tc>
          <w:tcPr>
            <w:tcW w:w="13980" w:type="dxa"/>
            <w:gridSpan w:val="11"/>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支出决算表</w:t>
            </w:r>
          </w:p>
        </w:tc>
      </w:tr>
      <w:tr>
        <w:tblPrEx>
          <w:tblCellMar>
            <w:top w:w="0" w:type="dxa"/>
            <w:left w:w="108" w:type="dxa"/>
            <w:bottom w:w="0" w:type="dxa"/>
            <w:right w:w="108" w:type="dxa"/>
          </w:tblCellMar>
        </w:tblPrEx>
        <w:trPr>
          <w:trHeight w:val="312" w:hRule="atLeast"/>
        </w:trPr>
        <w:tc>
          <w:tcPr>
            <w:tcW w:w="1142"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7"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03" w:type="dxa"/>
            <w:gridSpan w:val="2"/>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222"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27"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80"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760"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53"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54" w:type="dxa"/>
            <w:tcBorders>
              <w:top w:val="nil"/>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702" w:type="dxa"/>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公开03表</w:t>
            </w:r>
          </w:p>
        </w:tc>
      </w:tr>
      <w:tr>
        <w:tblPrEx>
          <w:tblCellMar>
            <w:top w:w="0" w:type="dxa"/>
            <w:left w:w="108" w:type="dxa"/>
            <w:bottom w:w="0" w:type="dxa"/>
            <w:right w:w="108" w:type="dxa"/>
          </w:tblCellMar>
        </w:tblPrEx>
        <w:trPr>
          <w:trHeight w:val="312" w:hRule="atLeast"/>
        </w:trPr>
        <w:tc>
          <w:tcPr>
            <w:tcW w:w="8971" w:type="dxa"/>
            <w:gridSpan w:val="8"/>
            <w:tcBorders>
              <w:top w:val="nil"/>
              <w:left w:val="nil"/>
              <w:bottom w:val="single" w:color="auto" w:sz="4" w:space="0"/>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百色市群众工作服务中心</w:t>
            </w:r>
          </w:p>
        </w:tc>
        <w:tc>
          <w:tcPr>
            <w:tcW w:w="1653" w:type="dxa"/>
            <w:tcBorders>
              <w:top w:val="nil"/>
              <w:left w:val="nil"/>
              <w:bottom w:val="single" w:color="auto" w:sz="4" w:space="0"/>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54" w:type="dxa"/>
            <w:tcBorders>
              <w:top w:val="nil"/>
              <w:left w:val="nil"/>
              <w:bottom w:val="single" w:color="auto" w:sz="4" w:space="0"/>
              <w:right w:val="nil"/>
            </w:tcBorders>
            <w:shd w:val="clear" w:color="auto" w:fill="auto"/>
            <w:noWrap/>
            <w:vAlign w:val="center"/>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702" w:type="dxa"/>
            <w:tcBorders>
              <w:top w:val="nil"/>
              <w:left w:val="nil"/>
              <w:bottom w:val="single" w:color="auto" w:sz="4" w:space="0"/>
              <w:right w:val="nil"/>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22" w:hRule="atLeast"/>
        </w:trPr>
        <w:tc>
          <w:tcPr>
            <w:tcW w:w="39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162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本年支出合计</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基本支出</w:t>
            </w:r>
          </w:p>
        </w:tc>
        <w:tc>
          <w:tcPr>
            <w:tcW w:w="17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项目支出</w:t>
            </w:r>
          </w:p>
        </w:tc>
        <w:tc>
          <w:tcPr>
            <w:tcW w:w="16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上缴上级支出</w:t>
            </w:r>
          </w:p>
        </w:tc>
        <w:tc>
          <w:tcPr>
            <w:tcW w:w="165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经营支出</w:t>
            </w:r>
          </w:p>
        </w:tc>
        <w:tc>
          <w:tcPr>
            <w:tcW w:w="170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对附属单位补助支出</w:t>
            </w:r>
          </w:p>
        </w:tc>
      </w:tr>
      <w:tr>
        <w:tblPrEx>
          <w:tblCellMar>
            <w:top w:w="0" w:type="dxa"/>
            <w:left w:w="108" w:type="dxa"/>
            <w:bottom w:w="0" w:type="dxa"/>
            <w:right w:w="108" w:type="dxa"/>
          </w:tblCellMar>
        </w:tblPrEx>
        <w:trPr>
          <w:trHeight w:val="322" w:hRule="atLeast"/>
        </w:trPr>
        <w:tc>
          <w:tcPr>
            <w:tcW w:w="1618"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功能分类科目编码</w:t>
            </w:r>
          </w:p>
        </w:tc>
        <w:tc>
          <w:tcPr>
            <w:tcW w:w="228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6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465" w:hRule="atLeast"/>
        </w:trPr>
        <w:tc>
          <w:tcPr>
            <w:tcW w:w="1618"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286"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837" w:hRule="atLeast"/>
        </w:trPr>
        <w:tc>
          <w:tcPr>
            <w:tcW w:w="1618" w:type="dxa"/>
            <w:gridSpan w:val="3"/>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286"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2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02"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22" w:hRule="atLeast"/>
        </w:trPr>
        <w:tc>
          <w:tcPr>
            <w:tcW w:w="39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162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16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176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c>
          <w:tcPr>
            <w:tcW w:w="16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16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170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r>
      <w:tr>
        <w:tblPrEx>
          <w:tblCellMar>
            <w:top w:w="0" w:type="dxa"/>
            <w:left w:w="108" w:type="dxa"/>
            <w:bottom w:w="0" w:type="dxa"/>
            <w:right w:w="108" w:type="dxa"/>
          </w:tblCellMar>
        </w:tblPrEx>
        <w:trPr>
          <w:trHeight w:val="633" w:hRule="atLeast"/>
        </w:trPr>
        <w:tc>
          <w:tcPr>
            <w:tcW w:w="3904"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default" w:ascii="宋体" w:hAnsi="宋体" w:eastAsia="宋体" w:cs="宋体"/>
                <w:b/>
                <w:bCs/>
                <w:color w:val="auto"/>
                <w:sz w:val="22"/>
                <w:szCs w:val="22"/>
                <w:highlight w:val="none"/>
              </w:rPr>
              <w:t>128.93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default" w:ascii="宋体" w:hAnsi="宋体" w:eastAsia="宋体" w:cs="宋体"/>
                <w:b/>
                <w:bCs/>
                <w:color w:val="auto"/>
                <w:sz w:val="22"/>
                <w:szCs w:val="22"/>
                <w:highlight w:val="none"/>
              </w:rPr>
              <w:t>128.93</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default" w:ascii="宋体" w:hAnsi="宋体" w:eastAsia="宋体" w:cs="宋体"/>
                <w:b/>
                <w:bCs/>
                <w:color w:val="auto"/>
                <w:sz w:val="22"/>
                <w:szCs w:val="22"/>
                <w:highlight w:val="none"/>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一般公共服务支出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100.64</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政府办公厅（室）及相关机构事务</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100.64</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2010350</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事业运行</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100.64</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社会保障和就业支出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13.93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13.93</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行政事业单位养老支出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13.93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13.93</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2080501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行政单位离退休</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13.93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13.93</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卫生健康支出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3.91</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21011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行政事业单位医疗</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3.91</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2101101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行政单位医疗</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3.91</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3.91</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住房保障支出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10.45</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10.45</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22102</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住房改革支出</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10.45</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10.45</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6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2210201</w:t>
            </w:r>
          </w:p>
        </w:tc>
        <w:tc>
          <w:tcPr>
            <w:tcW w:w="2286"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 xml:space="preserve">  住房公积金</w:t>
            </w:r>
          </w:p>
        </w:tc>
        <w:tc>
          <w:tcPr>
            <w:tcW w:w="162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10.45</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10.45</w:t>
            </w:r>
          </w:p>
        </w:tc>
        <w:tc>
          <w:tcPr>
            <w:tcW w:w="17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654"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22" w:hRule="atLeast"/>
        </w:trPr>
        <w:tc>
          <w:tcPr>
            <w:tcW w:w="13980" w:type="dxa"/>
            <w:gridSpan w:val="11"/>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注：本表反映部门本年度各项支出情况。</w:t>
            </w:r>
          </w:p>
        </w:tc>
      </w:tr>
    </w:tbl>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center"/>
        <w:rPr>
          <w:rFonts w:ascii="仿宋" w:hAnsi="仿宋" w:eastAsia="仿宋" w:cs="仿宋"/>
          <w:color w:val="auto"/>
          <w:sz w:val="24"/>
          <w:highlight w:val="none"/>
        </w:rPr>
      </w:pP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表四：财政拨款收入支出决算总表</w:t>
      </w:r>
    </w:p>
    <w:p>
      <w:pPr>
        <w:jc w:val="left"/>
        <w:rPr>
          <w:rFonts w:hint="eastAsia" w:ascii="仿宋" w:hAnsi="仿宋" w:eastAsia="仿宋" w:cs="仿宋"/>
          <w:color w:val="auto"/>
          <w:sz w:val="24"/>
          <w:highlight w:val="none"/>
        </w:rPr>
      </w:pPr>
    </w:p>
    <w:tbl>
      <w:tblPr>
        <w:tblStyle w:val="7"/>
        <w:tblW w:w="4966" w:type="pct"/>
        <w:tblInd w:w="0" w:type="dxa"/>
        <w:tblLayout w:type="fixed"/>
        <w:tblCellMar>
          <w:top w:w="0" w:type="dxa"/>
          <w:left w:w="108" w:type="dxa"/>
          <w:bottom w:w="0" w:type="dxa"/>
          <w:right w:w="108" w:type="dxa"/>
        </w:tblCellMar>
      </w:tblPr>
      <w:tblGrid>
        <w:gridCol w:w="2214"/>
        <w:gridCol w:w="785"/>
        <w:gridCol w:w="1307"/>
        <w:gridCol w:w="2360"/>
        <w:gridCol w:w="853"/>
        <w:gridCol w:w="1088"/>
        <w:gridCol w:w="1773"/>
        <w:gridCol w:w="1803"/>
        <w:gridCol w:w="1894"/>
      </w:tblGrid>
      <w:tr>
        <w:trPr>
          <w:trHeight w:val="520" w:hRule="atLeast"/>
        </w:trPr>
        <w:tc>
          <w:tcPr>
            <w:tcW w:w="5000" w:type="pct"/>
            <w:gridSpan w:val="9"/>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财政拨款收入支出决算总表</w:t>
            </w:r>
          </w:p>
        </w:tc>
      </w:tr>
      <w:tr>
        <w:tblPrEx>
          <w:tblCellMar>
            <w:top w:w="0" w:type="dxa"/>
            <w:left w:w="108" w:type="dxa"/>
            <w:bottom w:w="0" w:type="dxa"/>
            <w:right w:w="108" w:type="dxa"/>
          </w:tblCellMar>
        </w:tblPrEx>
        <w:trPr>
          <w:trHeight w:val="260" w:hRule="atLeast"/>
        </w:trPr>
        <w:tc>
          <w:tcPr>
            <w:tcW w:w="786"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79"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464"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838"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02"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86"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629"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640" w:type="pct"/>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672" w:type="pct"/>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公开04表</w:t>
            </w:r>
          </w:p>
        </w:tc>
      </w:tr>
      <w:tr>
        <w:tblPrEx>
          <w:tblCellMar>
            <w:top w:w="0" w:type="dxa"/>
            <w:left w:w="108" w:type="dxa"/>
            <w:bottom w:w="0" w:type="dxa"/>
            <w:right w:w="108" w:type="dxa"/>
          </w:tblCellMar>
        </w:tblPrEx>
        <w:trPr>
          <w:trHeight w:val="260" w:hRule="atLeast"/>
        </w:trPr>
        <w:tc>
          <w:tcPr>
            <w:tcW w:w="3056" w:type="pct"/>
            <w:gridSpan w:val="6"/>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百色市群众工作服务中心</w:t>
            </w:r>
          </w:p>
        </w:tc>
        <w:tc>
          <w:tcPr>
            <w:tcW w:w="629" w:type="pct"/>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640" w:type="pct"/>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672" w:type="pct"/>
            <w:tcBorders>
              <w:top w:val="nil"/>
              <w:left w:val="nil"/>
              <w:bottom w:val="single" w:color="auto" w:sz="4" w:space="0"/>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268" w:hRule="atLeast"/>
        </w:trPr>
        <w:tc>
          <w:tcPr>
            <w:tcW w:w="1529" w:type="pct"/>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收     入</w:t>
            </w:r>
          </w:p>
        </w:tc>
        <w:tc>
          <w:tcPr>
            <w:tcW w:w="3470" w:type="pct"/>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支     出</w:t>
            </w:r>
          </w:p>
        </w:tc>
      </w:tr>
      <w:tr>
        <w:tblPrEx>
          <w:tblCellMar>
            <w:top w:w="0" w:type="dxa"/>
            <w:left w:w="108" w:type="dxa"/>
            <w:bottom w:w="0" w:type="dxa"/>
            <w:right w:w="108" w:type="dxa"/>
          </w:tblCellMar>
        </w:tblPrEx>
        <w:trPr>
          <w:trHeight w:val="312" w:hRule="atLeast"/>
        </w:trPr>
        <w:tc>
          <w:tcPr>
            <w:tcW w:w="78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27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行次</w:t>
            </w:r>
          </w:p>
        </w:tc>
        <w:tc>
          <w:tcPr>
            <w:tcW w:w="46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金额</w:t>
            </w:r>
          </w:p>
        </w:tc>
        <w:tc>
          <w:tcPr>
            <w:tcW w:w="838"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30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行次</w:t>
            </w:r>
          </w:p>
        </w:tc>
        <w:tc>
          <w:tcPr>
            <w:tcW w:w="38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6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一般公共预算财政拨款</w:t>
            </w:r>
          </w:p>
        </w:tc>
        <w:tc>
          <w:tcPr>
            <w:tcW w:w="64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政府性基金预算财政拨款</w:t>
            </w:r>
          </w:p>
        </w:tc>
        <w:tc>
          <w:tcPr>
            <w:tcW w:w="67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国有资本经营预算财政拨款</w:t>
            </w:r>
          </w:p>
        </w:tc>
      </w:tr>
      <w:tr>
        <w:tblPrEx>
          <w:tblCellMar>
            <w:top w:w="0" w:type="dxa"/>
            <w:left w:w="108" w:type="dxa"/>
            <w:bottom w:w="0" w:type="dxa"/>
            <w:right w:w="108" w:type="dxa"/>
          </w:tblCellMar>
        </w:tblPrEx>
        <w:trPr>
          <w:trHeight w:val="536" w:hRule="atLeast"/>
        </w:trPr>
        <w:tc>
          <w:tcPr>
            <w:tcW w:w="78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7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464"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838"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0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8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6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640"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67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一、一般公共预算财政拨款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128.93</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一、一般公共服务支出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33</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100.64</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100.64</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二、政府性基金预算财政拨款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二、外交支出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34</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三、国有资本经营预算财政拨款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三、国防支出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35</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4</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四、公共安全支出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36</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5</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五、教育支出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37</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6</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六、科学技术支出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38</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7</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七、文化旅游体育与传媒支出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39</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8</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八、社会保障和就业支出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40</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13.93</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13.93</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9</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九、卫生健康支出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41</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3.91</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3.91</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10</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十、节能环保支出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42</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11</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十一、城乡社区支出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43</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12</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十二、农林水支出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44</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13</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十三、交通运输支出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45</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14</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十四、资源勘探工业信息等支出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46</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15</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十五、商业服务业等支出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47</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16</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十六、金融支出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48</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17</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十七、援助其他地区支出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49</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18</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十八、自然资源海洋气象等支出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50</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19</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十九、住房保障支出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51</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10.45</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10.45</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二十、粮油物资储备支出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52</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二十一、国有资本经营预算支出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53</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22</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二十二、灾害防治及应急管理支出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54</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23</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二十三、其他支出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55</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24</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二十四、债务还本支出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56</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25</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二十五、债务付息支出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57</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26</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二十六、抗疫特别国债安排的支出</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58</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本年收入合计</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27</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128.93</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本年支出合计</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59</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128.93</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128.93</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年初财政拨款结转和结余</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28</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年末财政拨款结转和结余</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60</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 xml:space="preserve">  一般公共预算财政拨款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29</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61</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 xml:space="preserve">  政府性基金预算财政拨款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30</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62</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 xml:space="preserve">  国有资本经营预算财政拨款</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31</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63</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7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总计</w:t>
            </w:r>
          </w:p>
        </w:tc>
        <w:tc>
          <w:tcPr>
            <w:tcW w:w="27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32</w:t>
            </w:r>
          </w:p>
        </w:tc>
        <w:tc>
          <w:tcPr>
            <w:tcW w:w="464"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128.93</w:t>
            </w:r>
          </w:p>
        </w:tc>
        <w:tc>
          <w:tcPr>
            <w:tcW w:w="83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总计</w:t>
            </w:r>
          </w:p>
        </w:tc>
        <w:tc>
          <w:tcPr>
            <w:tcW w:w="30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64</w:t>
            </w:r>
          </w:p>
        </w:tc>
        <w:tc>
          <w:tcPr>
            <w:tcW w:w="3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128.93</w:t>
            </w:r>
          </w:p>
        </w:tc>
        <w:tc>
          <w:tcPr>
            <w:tcW w:w="629"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128.93</w:t>
            </w:r>
          </w:p>
        </w:tc>
        <w:tc>
          <w:tcPr>
            <w:tcW w:w="640"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c>
          <w:tcPr>
            <w:tcW w:w="672"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268" w:hRule="atLeast"/>
        </w:trPr>
        <w:tc>
          <w:tcPr>
            <w:tcW w:w="4327" w:type="pct"/>
            <w:gridSpan w:val="8"/>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注：本表反映部门本年度一般公共预算财政拨款、政府性基金预算财政拨款和国有资本经营预算财政拨款的总收支和年末结转结余情况。</w:t>
            </w:r>
          </w:p>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p>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p>
        </w:tc>
        <w:tc>
          <w:tcPr>
            <w:tcW w:w="672" w:type="pct"/>
            <w:tcBorders>
              <w:top w:val="single" w:color="auto" w:sz="4" w:space="0"/>
              <w:left w:val="nil"/>
              <w:bottom w:val="nil"/>
              <w:right w:val="nil"/>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0"/>
                <w:szCs w:val="20"/>
                <w:highlight w:val="none"/>
              </w:rPr>
            </w:pPr>
          </w:p>
        </w:tc>
      </w:tr>
    </w:tbl>
    <w:p>
      <w:pPr>
        <w:jc w:val="left"/>
        <w:rPr>
          <w:rFonts w:ascii="仿宋" w:hAnsi="仿宋" w:eastAsia="仿宋" w:cs="仿宋"/>
          <w:color w:val="auto"/>
          <w:sz w:val="24"/>
          <w:highlight w:val="none"/>
        </w:rPr>
      </w:pPr>
    </w:p>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left"/>
        <w:rPr>
          <w:rFonts w:ascii="仿宋" w:hAnsi="仿宋" w:eastAsia="仿宋" w:cs="仿宋"/>
          <w:color w:val="auto"/>
          <w:sz w:val="24"/>
          <w:highlight w:val="none"/>
        </w:rPr>
      </w:pP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表五：一般公共预算财政拨款支出决算表</w:t>
      </w:r>
    </w:p>
    <w:p>
      <w:pPr>
        <w:jc w:val="left"/>
        <w:rPr>
          <w:rFonts w:hint="eastAsia" w:ascii="仿宋" w:hAnsi="仿宋" w:eastAsia="仿宋" w:cs="仿宋"/>
          <w:color w:val="auto"/>
          <w:sz w:val="24"/>
          <w:highlight w:val="none"/>
        </w:rPr>
      </w:pPr>
    </w:p>
    <w:tbl>
      <w:tblPr>
        <w:tblStyle w:val="7"/>
        <w:tblW w:w="13980" w:type="dxa"/>
        <w:tblInd w:w="96" w:type="dxa"/>
        <w:tblLayout w:type="fixed"/>
        <w:tblCellMar>
          <w:top w:w="0" w:type="dxa"/>
          <w:left w:w="108" w:type="dxa"/>
          <w:bottom w:w="0" w:type="dxa"/>
          <w:right w:w="108" w:type="dxa"/>
        </w:tblCellMar>
      </w:tblPr>
      <w:tblGrid>
        <w:gridCol w:w="2011"/>
        <w:gridCol w:w="272"/>
        <w:gridCol w:w="238"/>
        <w:gridCol w:w="238"/>
        <w:gridCol w:w="2052"/>
        <w:gridCol w:w="3173"/>
        <w:gridCol w:w="3107"/>
        <w:gridCol w:w="2889"/>
      </w:tblGrid>
      <w:tr>
        <w:tblPrEx>
          <w:tblCellMar>
            <w:top w:w="0" w:type="dxa"/>
            <w:left w:w="108" w:type="dxa"/>
            <w:bottom w:w="0" w:type="dxa"/>
            <w:right w:w="108" w:type="dxa"/>
          </w:tblCellMar>
        </w:tblPrEx>
        <w:trPr>
          <w:trHeight w:val="693" w:hRule="atLeast"/>
        </w:trPr>
        <w:tc>
          <w:tcPr>
            <w:tcW w:w="13980" w:type="dxa"/>
            <w:gridSpan w:val="8"/>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一般公共预算财政拨款支出决算表</w:t>
            </w:r>
          </w:p>
        </w:tc>
      </w:tr>
      <w:tr>
        <w:tblPrEx>
          <w:tblCellMar>
            <w:top w:w="0" w:type="dxa"/>
            <w:left w:w="108" w:type="dxa"/>
            <w:bottom w:w="0" w:type="dxa"/>
            <w:right w:w="108" w:type="dxa"/>
          </w:tblCellMar>
        </w:tblPrEx>
        <w:trPr>
          <w:trHeight w:val="346" w:hRule="atLeast"/>
        </w:trPr>
        <w:tc>
          <w:tcPr>
            <w:tcW w:w="2283" w:type="dxa"/>
            <w:gridSpan w:val="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8"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8"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052"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17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10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889"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公开05表</w:t>
            </w:r>
          </w:p>
        </w:tc>
      </w:tr>
      <w:tr>
        <w:tblPrEx>
          <w:tblCellMar>
            <w:top w:w="0" w:type="dxa"/>
            <w:left w:w="108" w:type="dxa"/>
            <w:bottom w:w="0" w:type="dxa"/>
            <w:right w:w="108" w:type="dxa"/>
          </w:tblCellMar>
        </w:tblPrEx>
        <w:trPr>
          <w:trHeight w:val="346" w:hRule="atLeast"/>
        </w:trPr>
        <w:tc>
          <w:tcPr>
            <w:tcW w:w="7984" w:type="dxa"/>
            <w:gridSpan w:val="6"/>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百色市群众工作服务中心</w:t>
            </w:r>
          </w:p>
        </w:tc>
        <w:tc>
          <w:tcPr>
            <w:tcW w:w="3107"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889" w:type="dxa"/>
            <w:tcBorders>
              <w:top w:val="nil"/>
              <w:left w:val="nil"/>
              <w:bottom w:val="single" w:color="auto" w:sz="4" w:space="0"/>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58" w:hRule="atLeast"/>
        </w:trPr>
        <w:tc>
          <w:tcPr>
            <w:tcW w:w="48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916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本年支出</w:t>
            </w:r>
          </w:p>
        </w:tc>
      </w:tr>
      <w:tr>
        <w:tblPrEx>
          <w:tblCellMar>
            <w:top w:w="0" w:type="dxa"/>
            <w:left w:w="108" w:type="dxa"/>
            <w:bottom w:w="0" w:type="dxa"/>
            <w:right w:w="108" w:type="dxa"/>
          </w:tblCellMar>
        </w:tblPrEx>
        <w:trPr>
          <w:trHeight w:val="353" w:hRule="atLeast"/>
        </w:trPr>
        <w:tc>
          <w:tcPr>
            <w:tcW w:w="20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功能分类科目编码</w:t>
            </w:r>
          </w:p>
        </w:tc>
        <w:tc>
          <w:tcPr>
            <w:tcW w:w="2800" w:type="dxa"/>
            <w:gridSpan w:val="4"/>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31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小计</w:t>
            </w:r>
          </w:p>
        </w:tc>
        <w:tc>
          <w:tcPr>
            <w:tcW w:w="310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基本支出</w:t>
            </w:r>
          </w:p>
        </w:tc>
        <w:tc>
          <w:tcPr>
            <w:tcW w:w="288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项目支出</w:t>
            </w:r>
          </w:p>
        </w:tc>
      </w:tr>
      <w:tr>
        <w:tblPrEx>
          <w:tblCellMar>
            <w:top w:w="0" w:type="dxa"/>
            <w:left w:w="108" w:type="dxa"/>
            <w:bottom w:w="0" w:type="dxa"/>
            <w:right w:w="108" w:type="dxa"/>
          </w:tblCellMar>
        </w:tblPrEx>
        <w:trPr>
          <w:trHeight w:val="319" w:hRule="atLeast"/>
        </w:trPr>
        <w:tc>
          <w:tcPr>
            <w:tcW w:w="201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800"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8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53" w:hRule="atLeast"/>
        </w:trPr>
        <w:tc>
          <w:tcPr>
            <w:tcW w:w="201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800" w:type="dxa"/>
            <w:gridSpan w:val="4"/>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0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88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58" w:hRule="atLeast"/>
        </w:trPr>
        <w:tc>
          <w:tcPr>
            <w:tcW w:w="48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r>
      <w:tr>
        <w:tblPrEx>
          <w:tblCellMar>
            <w:top w:w="0" w:type="dxa"/>
            <w:left w:w="108" w:type="dxa"/>
            <w:bottom w:w="0" w:type="dxa"/>
            <w:right w:w="108" w:type="dxa"/>
          </w:tblCellMar>
        </w:tblPrEx>
        <w:trPr>
          <w:trHeight w:val="358" w:hRule="atLeast"/>
        </w:trPr>
        <w:tc>
          <w:tcPr>
            <w:tcW w:w="481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default" w:ascii="宋体" w:hAnsi="宋体" w:eastAsia="宋体" w:cs="宋体"/>
                <w:b/>
                <w:bCs/>
                <w:color w:val="auto"/>
                <w:sz w:val="22"/>
                <w:szCs w:val="22"/>
                <w:highlight w:val="none"/>
              </w:rPr>
              <w:t>128.93</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128.93</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一般公共服务支出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100.64</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100.64</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20103</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政府办公厅（室）及相关机构事务</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100.64</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100.64</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2010350</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事业运行</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100.64</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100.64</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208</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社会保障和就业支出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13.93</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13.93</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20805</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行政事业单位养老支出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13.93</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13.93</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2080501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行政单位离退休</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13.93</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13.93</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210</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卫生健康支出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3.91</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3.91</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21011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行政事业单位医疗</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3.91</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3.91</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2101101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行政单位医疗</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3.91</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3.91</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221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住房保障支出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10.45</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10.45</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22102</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住房改革支出</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10.45</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10.45</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201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2210201</w:t>
            </w:r>
          </w:p>
        </w:tc>
        <w:tc>
          <w:tcPr>
            <w:tcW w:w="2800"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 xml:space="preserve">  住房公积金</w:t>
            </w:r>
          </w:p>
        </w:tc>
        <w:tc>
          <w:tcPr>
            <w:tcW w:w="3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10.45</w:t>
            </w:r>
          </w:p>
        </w:tc>
        <w:tc>
          <w:tcPr>
            <w:tcW w:w="3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10.45</w:t>
            </w:r>
          </w:p>
        </w:tc>
        <w:tc>
          <w:tcPr>
            <w:tcW w:w="288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trHeight w:val="358" w:hRule="atLeast"/>
        </w:trPr>
        <w:tc>
          <w:tcPr>
            <w:tcW w:w="13980" w:type="dxa"/>
            <w:gridSpan w:val="8"/>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注：本表反映部门本年度一般公共预算财政拨款支出情况。</w:t>
            </w:r>
          </w:p>
        </w:tc>
      </w:tr>
    </w:tbl>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表六：一般公共预算财政拨款基本支出决算表</w:t>
      </w:r>
    </w:p>
    <w:p>
      <w:pPr>
        <w:jc w:val="left"/>
        <w:rPr>
          <w:rFonts w:hint="eastAsia" w:ascii="仿宋" w:hAnsi="仿宋" w:eastAsia="仿宋" w:cs="仿宋"/>
          <w:color w:val="auto"/>
          <w:sz w:val="24"/>
          <w:highlight w:val="none"/>
        </w:rPr>
      </w:pPr>
    </w:p>
    <w:tbl>
      <w:tblPr>
        <w:tblStyle w:val="7"/>
        <w:tblW w:w="14000" w:type="dxa"/>
        <w:tblInd w:w="96" w:type="dxa"/>
        <w:tblLayout w:type="fixed"/>
        <w:tblCellMar>
          <w:top w:w="0" w:type="dxa"/>
          <w:left w:w="108" w:type="dxa"/>
          <w:bottom w:w="0" w:type="dxa"/>
          <w:right w:w="108" w:type="dxa"/>
        </w:tblCellMar>
      </w:tblPr>
      <w:tblGrid>
        <w:gridCol w:w="1107"/>
        <w:gridCol w:w="2371"/>
        <w:gridCol w:w="1106"/>
        <w:gridCol w:w="1280"/>
        <w:gridCol w:w="2347"/>
        <w:gridCol w:w="1160"/>
        <w:gridCol w:w="1173"/>
        <w:gridCol w:w="2147"/>
        <w:gridCol w:w="1309"/>
      </w:tblGrid>
      <w:tr>
        <w:tblPrEx>
          <w:tblCellMar>
            <w:top w:w="0" w:type="dxa"/>
            <w:left w:w="108" w:type="dxa"/>
            <w:bottom w:w="0" w:type="dxa"/>
            <w:right w:w="108" w:type="dxa"/>
          </w:tblCellMar>
        </w:tblPrEx>
        <w:trPr>
          <w:trHeight w:val="614" w:hRule="atLeast"/>
        </w:trPr>
        <w:tc>
          <w:tcPr>
            <w:tcW w:w="14000" w:type="dxa"/>
            <w:gridSpan w:val="9"/>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一般公共预算财政拨款基本支出决算明细表</w:t>
            </w:r>
          </w:p>
        </w:tc>
      </w:tr>
      <w:tr>
        <w:tblPrEx>
          <w:tblCellMar>
            <w:top w:w="0" w:type="dxa"/>
            <w:left w:w="108" w:type="dxa"/>
            <w:bottom w:w="0" w:type="dxa"/>
            <w:right w:w="108" w:type="dxa"/>
          </w:tblCellMar>
        </w:tblPrEx>
        <w:trPr>
          <w:trHeight w:val="307" w:hRule="atLeast"/>
        </w:trPr>
        <w:tc>
          <w:tcPr>
            <w:tcW w:w="110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71"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0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28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4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6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7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14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309"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公开06表</w:t>
            </w:r>
          </w:p>
        </w:tc>
      </w:tr>
      <w:tr>
        <w:tblPrEx>
          <w:tblCellMar>
            <w:top w:w="0" w:type="dxa"/>
            <w:left w:w="108" w:type="dxa"/>
            <w:bottom w:w="0" w:type="dxa"/>
            <w:right w:w="108" w:type="dxa"/>
          </w:tblCellMar>
        </w:tblPrEx>
        <w:trPr>
          <w:trHeight w:val="569" w:hRule="atLeast"/>
        </w:trPr>
        <w:tc>
          <w:tcPr>
            <w:tcW w:w="8211" w:type="dxa"/>
            <w:gridSpan w:val="5"/>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百色市群众工作服务中心</w:t>
            </w:r>
          </w:p>
        </w:tc>
        <w:tc>
          <w:tcPr>
            <w:tcW w:w="1160"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73"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456" w:type="dxa"/>
            <w:gridSpan w:val="2"/>
            <w:tcBorders>
              <w:top w:val="nil"/>
              <w:left w:val="nil"/>
              <w:bottom w:val="single" w:color="auto" w:sz="4" w:space="0"/>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19" w:hRule="atLeast"/>
        </w:trPr>
        <w:tc>
          <w:tcPr>
            <w:tcW w:w="458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人员经费</w:t>
            </w:r>
          </w:p>
        </w:tc>
        <w:tc>
          <w:tcPr>
            <w:tcW w:w="941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公用经费</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科目编码</w:t>
            </w:r>
          </w:p>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p>
        </w:tc>
        <w:tc>
          <w:tcPr>
            <w:tcW w:w="237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1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决算数</w:t>
            </w:r>
          </w:p>
        </w:tc>
        <w:tc>
          <w:tcPr>
            <w:tcW w:w="12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科目编码</w:t>
            </w:r>
          </w:p>
        </w:tc>
        <w:tc>
          <w:tcPr>
            <w:tcW w:w="2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16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决算数</w:t>
            </w:r>
          </w:p>
        </w:tc>
        <w:tc>
          <w:tcPr>
            <w:tcW w:w="11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科目编码</w:t>
            </w:r>
          </w:p>
        </w:tc>
        <w:tc>
          <w:tcPr>
            <w:tcW w:w="21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3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决算数</w:t>
            </w:r>
          </w:p>
        </w:tc>
      </w:tr>
      <w:tr>
        <w:tblPrEx>
          <w:tblCellMar>
            <w:top w:w="0" w:type="dxa"/>
            <w:left w:w="108" w:type="dxa"/>
            <w:bottom w:w="0" w:type="dxa"/>
            <w:right w:w="108" w:type="dxa"/>
          </w:tblCellMar>
        </w:tblPrEx>
        <w:trPr>
          <w:trHeight w:val="1237" w:hRule="atLeast"/>
        </w:trPr>
        <w:tc>
          <w:tcPr>
            <w:tcW w:w="110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371"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10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2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16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1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1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30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bookmarkStart w:id="0" w:name="OLE_LINK3"/>
            <w:bookmarkStart w:id="1" w:name="OLE_LINK4"/>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30299</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其他商品和服务支出</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工资福利支出</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bidi="ar"/>
              </w:rPr>
              <w:t>85.83</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商品和服务支出</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6.56</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307</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债务利息及费用支出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30101</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基本工资</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54.08</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30201</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办公费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6.56</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30701</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国内债务付息</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30102</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津贴补贴</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30202</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印刷费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30702</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国外债务付息</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30103</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奖金</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30203</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咨询费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资本性支出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30106</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伙食补助费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3.20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30204</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手续费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31001</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房屋建筑物购建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30107</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绩效工资</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30205</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水费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31002</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办公设备购置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30108</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机关事业单位基本养老保险缴费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13.93</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30206</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电费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31003</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专用设备购置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30109</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职业年金缴费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30207</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邮电费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31005</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基础设施建设</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30110</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职工基本医疗保险缴费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3.91</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30208</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取暖费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31006</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大型修缮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30111</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公务员医疗补助缴费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30209</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物业管理费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31007</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信息网络及软件购置更新</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30112</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其他社会保障缴费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0.26</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30211</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差旅费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31008</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物资储备</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30113</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住房公积金</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10.45</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30212</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因公出国（境）费用</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31009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土地补偿</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30114</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医疗费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30213</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维修（护）费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31010</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安置补助</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30199</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其他工资福利支出</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30214</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租赁费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31011</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地上附着物和青苗补偿</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对个人和家庭的补助</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50.47</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30215</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会议费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31012</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拆迁补偿</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30301</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离休费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30216</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培训费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31013</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公务用车购置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30302</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退休费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30217</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公务接待费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31019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其他交通工具购置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30303</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退职（役）费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30218</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专用材料费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31021</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文物和陈列品购置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30304</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抚恤金</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30224</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被装购置费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31022</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无形资产购置</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30305</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生活补助</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2.59</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30225</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专用燃料费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31099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其他资本性支出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30306</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救济费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30226</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劳务费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其他支出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30307</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医疗费补助</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kern w:val="0"/>
                <w:sz w:val="22"/>
                <w:szCs w:val="22"/>
                <w:highlight w:val="none"/>
                <w:lang w:val="en-US" w:eastAsia="zh-CN"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30227</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委托业务费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39907</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国家赔偿费用支出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30308</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助学金</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30228</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工会经费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39908</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对民间非营利组织和群众性自治组织补贴</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30309</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奖励金</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33.95</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30229</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福利费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39909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经常性赠与</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30310</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个人农业生产补贴</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30231</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公务用车运行维护费</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39910</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资本性赠与</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30311</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代缴社会保险费</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30239</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其他交通费用</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39999</w:t>
            </w: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其他支出</w:t>
            </w: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30399</w:t>
            </w:r>
          </w:p>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其他对个人和家庭的补助</w:t>
            </w: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30240</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 xml:space="preserve">  税金及附加费用</w:t>
            </w: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624" w:hRule="atLeast"/>
        </w:trPr>
        <w:tc>
          <w:tcPr>
            <w:tcW w:w="110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人员经费合计</w:t>
            </w:r>
          </w:p>
          <w:bookmarkEnd w:id="0"/>
          <w:bookmarkEnd w:id="1"/>
        </w:tc>
        <w:tc>
          <w:tcPr>
            <w:tcW w:w="23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both"/>
              <w:textAlignment w:val="center"/>
              <w:rPr>
                <w:rFonts w:hint="default" w:ascii="宋体" w:hAnsi="宋体" w:eastAsia="宋体" w:cs="宋体"/>
                <w:color w:val="auto"/>
                <w:sz w:val="22"/>
                <w:szCs w:val="22"/>
                <w:highlight w:val="none"/>
              </w:rPr>
            </w:pPr>
          </w:p>
        </w:tc>
        <w:tc>
          <w:tcPr>
            <w:tcW w:w="1106"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122.38</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公用经费合计</w:t>
            </w:r>
          </w:p>
        </w:tc>
        <w:tc>
          <w:tcPr>
            <w:tcW w:w="23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116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sz w:val="22"/>
                <w:szCs w:val="22"/>
                <w:highlight w:val="none"/>
              </w:rPr>
            </w:pPr>
            <w:r>
              <w:rPr>
                <w:rFonts w:hint="default" w:ascii="宋体" w:hAnsi="宋体" w:eastAsia="宋体" w:cs="宋体"/>
                <w:color w:val="auto"/>
                <w:kern w:val="0"/>
                <w:sz w:val="22"/>
                <w:szCs w:val="22"/>
                <w:highlight w:val="none"/>
                <w:lang w:bidi="ar"/>
              </w:rPr>
              <w:t>0.00</w:t>
            </w:r>
          </w:p>
        </w:tc>
        <w:tc>
          <w:tcPr>
            <w:tcW w:w="11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2147"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p>
        </w:tc>
        <w:tc>
          <w:tcPr>
            <w:tcW w:w="130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6.56</w:t>
            </w:r>
          </w:p>
        </w:tc>
      </w:tr>
      <w:tr>
        <w:tblPrEx>
          <w:tblCellMar>
            <w:top w:w="0" w:type="dxa"/>
            <w:left w:w="108" w:type="dxa"/>
            <w:bottom w:w="0" w:type="dxa"/>
            <w:right w:w="108" w:type="dxa"/>
          </w:tblCellMar>
        </w:tblPrEx>
        <w:trPr>
          <w:trHeight w:val="319" w:hRule="atLeast"/>
        </w:trPr>
        <w:tc>
          <w:tcPr>
            <w:tcW w:w="14000" w:type="dxa"/>
            <w:gridSpan w:val="9"/>
            <w:tcBorders>
              <w:top w:val="single" w:color="auto" w:sz="4" w:space="0"/>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注：本表反映部门本年度一般公共预算财政拨款基本支出明细情况。</w:t>
            </w:r>
          </w:p>
        </w:tc>
      </w:tr>
    </w:tbl>
    <w:p>
      <w:pPr>
        <w:jc w:val="left"/>
        <w:rPr>
          <w:rFonts w:ascii="仿宋" w:hAnsi="仿宋" w:eastAsia="仿宋" w:cs="仿宋"/>
          <w:color w:val="auto"/>
          <w:sz w:val="24"/>
          <w:highlight w:val="none"/>
        </w:rPr>
      </w:pPr>
    </w:p>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w:t>
      </w:r>
      <w:r>
        <w:rPr>
          <w:rFonts w:hint="eastAsia" w:ascii="仿宋" w:hAnsi="仿宋" w:eastAsia="仿宋" w:cs="仿宋"/>
          <w:color w:val="auto"/>
          <w:sz w:val="24"/>
          <w:highlight w:val="none"/>
          <w:lang w:val="en-US" w:eastAsia="zh-CN"/>
        </w:rPr>
        <w:t>七</w:t>
      </w:r>
      <w:r>
        <w:rPr>
          <w:rFonts w:hint="eastAsia" w:ascii="仿宋" w:hAnsi="仿宋" w:eastAsia="仿宋" w:cs="仿宋"/>
          <w:color w:val="auto"/>
          <w:sz w:val="24"/>
          <w:highlight w:val="none"/>
        </w:rPr>
        <w:t>：政府性基金预算财政拨款收入支出决算表</w:t>
      </w:r>
    </w:p>
    <w:p>
      <w:pPr>
        <w:jc w:val="left"/>
        <w:rPr>
          <w:rFonts w:hint="eastAsia" w:ascii="仿宋" w:hAnsi="仿宋" w:eastAsia="仿宋" w:cs="仿宋"/>
          <w:color w:val="auto"/>
          <w:sz w:val="24"/>
          <w:highlight w:val="none"/>
        </w:rPr>
      </w:pPr>
    </w:p>
    <w:tbl>
      <w:tblPr>
        <w:tblStyle w:val="7"/>
        <w:tblW w:w="13982" w:type="dxa"/>
        <w:tblInd w:w="96" w:type="dxa"/>
        <w:tblLayout w:type="fixed"/>
        <w:tblCellMar>
          <w:top w:w="0" w:type="dxa"/>
          <w:left w:w="108" w:type="dxa"/>
          <w:bottom w:w="0" w:type="dxa"/>
          <w:right w:w="108" w:type="dxa"/>
        </w:tblCellMar>
      </w:tblPr>
      <w:tblGrid>
        <w:gridCol w:w="1297"/>
        <w:gridCol w:w="240"/>
        <w:gridCol w:w="236"/>
        <w:gridCol w:w="1625"/>
        <w:gridCol w:w="1973"/>
        <w:gridCol w:w="1653"/>
        <w:gridCol w:w="1600"/>
        <w:gridCol w:w="1680"/>
        <w:gridCol w:w="1728"/>
        <w:gridCol w:w="2"/>
        <w:gridCol w:w="1946"/>
        <w:gridCol w:w="2"/>
      </w:tblGrid>
      <w:tr>
        <w:tblPrEx>
          <w:tblCellMar>
            <w:top w:w="0" w:type="dxa"/>
            <w:left w:w="108" w:type="dxa"/>
            <w:bottom w:w="0" w:type="dxa"/>
            <w:right w:w="108" w:type="dxa"/>
          </w:tblCellMar>
        </w:tblPrEx>
        <w:trPr>
          <w:gridAfter w:val="1"/>
          <w:wAfter w:w="2" w:type="dxa"/>
          <w:trHeight w:val="536" w:hRule="atLeast"/>
        </w:trPr>
        <w:tc>
          <w:tcPr>
            <w:tcW w:w="13980" w:type="dxa"/>
            <w:gridSpan w:val="11"/>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政府性基金预算财政拨款收入支出决算表</w:t>
            </w:r>
          </w:p>
        </w:tc>
      </w:tr>
      <w:tr>
        <w:tblPrEx>
          <w:tblCellMar>
            <w:top w:w="0" w:type="dxa"/>
            <w:left w:w="108" w:type="dxa"/>
            <w:bottom w:w="0" w:type="dxa"/>
            <w:right w:w="108" w:type="dxa"/>
          </w:tblCellMar>
        </w:tblPrEx>
        <w:trPr>
          <w:trHeight w:val="268" w:hRule="atLeast"/>
        </w:trPr>
        <w:tc>
          <w:tcPr>
            <w:tcW w:w="1297"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4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3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25"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7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5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0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68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730" w:type="dxa"/>
            <w:gridSpan w:val="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48" w:type="dxa"/>
            <w:gridSpan w:val="2"/>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公开08表</w:t>
            </w:r>
          </w:p>
        </w:tc>
      </w:tr>
      <w:tr>
        <w:tblPrEx>
          <w:tblCellMar>
            <w:top w:w="0" w:type="dxa"/>
            <w:left w:w="108" w:type="dxa"/>
            <w:bottom w:w="0" w:type="dxa"/>
            <w:right w:w="108" w:type="dxa"/>
          </w:tblCellMar>
        </w:tblPrEx>
        <w:trPr>
          <w:gridAfter w:val="1"/>
          <w:wAfter w:w="2" w:type="dxa"/>
          <w:trHeight w:val="268" w:hRule="atLeast"/>
        </w:trPr>
        <w:tc>
          <w:tcPr>
            <w:tcW w:w="8624" w:type="dxa"/>
            <w:gridSpan w:val="7"/>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百色市群众工作服务中心</w:t>
            </w:r>
          </w:p>
        </w:tc>
        <w:tc>
          <w:tcPr>
            <w:tcW w:w="1680"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728" w:type="dxa"/>
            <w:tcBorders>
              <w:top w:val="nil"/>
              <w:left w:val="nil"/>
              <w:bottom w:val="single" w:color="auto" w:sz="4" w:space="0"/>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48" w:type="dxa"/>
            <w:gridSpan w:val="2"/>
            <w:tcBorders>
              <w:top w:val="nil"/>
              <w:left w:val="nil"/>
              <w:bottom w:val="single" w:color="auto" w:sz="4" w:space="0"/>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gridAfter w:val="1"/>
          <w:wAfter w:w="2" w:type="dxa"/>
          <w:trHeight w:val="277" w:hRule="atLeast"/>
        </w:trPr>
        <w:tc>
          <w:tcPr>
            <w:tcW w:w="339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19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年初结转和结余</w:t>
            </w:r>
          </w:p>
        </w:tc>
        <w:tc>
          <w:tcPr>
            <w:tcW w:w="165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本年收入</w:t>
            </w:r>
          </w:p>
        </w:tc>
        <w:tc>
          <w:tcPr>
            <w:tcW w:w="500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本年支出</w:t>
            </w:r>
          </w:p>
        </w:tc>
        <w:tc>
          <w:tcPr>
            <w:tcW w:w="1948"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年末结转和结余</w:t>
            </w:r>
          </w:p>
        </w:tc>
      </w:tr>
      <w:tr>
        <w:tblPrEx>
          <w:tblCellMar>
            <w:top w:w="0" w:type="dxa"/>
            <w:left w:w="108" w:type="dxa"/>
            <w:bottom w:w="0" w:type="dxa"/>
            <w:right w:w="108" w:type="dxa"/>
          </w:tblCellMar>
        </w:tblPrEx>
        <w:trPr>
          <w:gridAfter w:val="1"/>
          <w:wAfter w:w="2" w:type="dxa"/>
          <w:trHeight w:val="312" w:hRule="atLeast"/>
        </w:trPr>
        <w:tc>
          <w:tcPr>
            <w:tcW w:w="153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功能分类科目编码</w:t>
            </w:r>
          </w:p>
        </w:tc>
        <w:tc>
          <w:tcPr>
            <w:tcW w:w="1861"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19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小计</w:t>
            </w:r>
          </w:p>
        </w:tc>
        <w:tc>
          <w:tcPr>
            <w:tcW w:w="16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基本支出</w:t>
            </w:r>
          </w:p>
        </w:tc>
        <w:tc>
          <w:tcPr>
            <w:tcW w:w="172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项目支出</w:t>
            </w:r>
          </w:p>
        </w:tc>
        <w:tc>
          <w:tcPr>
            <w:tcW w:w="194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9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2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94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9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5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68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72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948" w:type="dxa"/>
            <w:gridSpan w:val="2"/>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339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r>
      <w:tr>
        <w:tblPrEx>
          <w:tblCellMar>
            <w:top w:w="0" w:type="dxa"/>
            <w:left w:w="108" w:type="dxa"/>
            <w:bottom w:w="0" w:type="dxa"/>
            <w:right w:w="108" w:type="dxa"/>
          </w:tblCellMar>
        </w:tblPrEx>
        <w:trPr>
          <w:gridAfter w:val="1"/>
          <w:wAfter w:w="2" w:type="dxa"/>
          <w:trHeight w:val="277" w:hRule="atLeast"/>
        </w:trPr>
        <w:tc>
          <w:tcPr>
            <w:tcW w:w="3398"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53"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0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80"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728"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948"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single" w:color="auto" w:sz="4" w:space="0"/>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53"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00"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80"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728" w:type="dxa"/>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948" w:type="dxa"/>
            <w:gridSpan w:val="2"/>
            <w:tcBorders>
              <w:top w:val="single" w:color="auto" w:sz="4" w:space="0"/>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1537"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861" w:type="dxa"/>
            <w:gridSpan w:val="2"/>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197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5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00"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680"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728"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1948" w:type="dxa"/>
            <w:gridSpan w:val="2"/>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2" w:type="dxa"/>
          <w:trHeight w:val="277" w:hRule="atLeast"/>
        </w:trPr>
        <w:tc>
          <w:tcPr>
            <w:tcW w:w="13980" w:type="dxa"/>
            <w:gridSpan w:val="11"/>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color w:val="auto"/>
              </w:rPr>
            </w:pPr>
            <w:r>
              <w:rPr>
                <w:rFonts w:hint="eastAsia" w:ascii="宋体" w:hAnsi="宋体" w:eastAsia="宋体" w:cs="宋体"/>
                <w:color w:val="auto"/>
                <w:kern w:val="0"/>
                <w:sz w:val="22"/>
                <w:szCs w:val="22"/>
                <w:highlight w:val="none"/>
                <w:lang w:bidi="ar"/>
              </w:rPr>
              <w:t>注：</w:t>
            </w:r>
            <w:r>
              <w:rPr>
                <w:rFonts w:hint="eastAsia" w:ascii="宋体" w:hAnsi="宋体" w:eastAsia="宋体" w:cs="宋体"/>
                <w:color w:val="auto"/>
                <w:kern w:val="2"/>
                <w:sz w:val="21"/>
                <w:szCs w:val="21"/>
                <w:lang w:val="en-US" w:eastAsia="zh-CN" w:bidi="ar"/>
              </w:rPr>
              <w:t>本部门</w:t>
            </w:r>
            <w:r>
              <w:rPr>
                <w:rFonts w:hint="default" w:ascii="Times New Roman" w:hAnsi="Times New Roman" w:eastAsia="宋体" w:cs="Times New Roman"/>
                <w:color w:val="auto"/>
                <w:kern w:val="2"/>
                <w:sz w:val="21"/>
                <w:szCs w:val="21"/>
                <w:lang w:val="en-US" w:eastAsia="zh-CN" w:bidi="ar"/>
              </w:rPr>
              <w:t>2022</w:t>
            </w:r>
            <w:r>
              <w:rPr>
                <w:rFonts w:hint="eastAsia" w:ascii="宋体" w:hAnsi="宋体" w:eastAsia="宋体" w:cs="宋体"/>
                <w:color w:val="auto"/>
                <w:kern w:val="2"/>
                <w:sz w:val="21"/>
                <w:szCs w:val="21"/>
                <w:lang w:val="en-US" w:eastAsia="zh-CN" w:bidi="ar"/>
              </w:rPr>
              <w:t>年度没有政府性基金预算财政拨款收入，也没有政府性基金预算财政拨款安排的支出，故本表无数据。</w:t>
            </w:r>
          </w:p>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r>
    </w:tbl>
    <w:p>
      <w:pPr>
        <w:rPr>
          <w:rFonts w:ascii="仿宋" w:hAnsi="仿宋" w:eastAsia="仿宋" w:cs="仿宋"/>
          <w:color w:val="auto"/>
          <w:sz w:val="24"/>
          <w:highlight w:val="none"/>
        </w:rPr>
      </w:pPr>
      <w:r>
        <w:rPr>
          <w:rFonts w:ascii="仿宋" w:hAnsi="仿宋" w:eastAsia="仿宋" w:cs="仿宋"/>
          <w:color w:val="auto"/>
          <w:sz w:val="24"/>
          <w:highlight w:val="none"/>
        </w:rPr>
        <w:br w:type="page"/>
      </w:r>
    </w:p>
    <w:p>
      <w:pPr>
        <w:jc w:val="left"/>
        <w:rPr>
          <w:rFonts w:ascii="仿宋" w:hAnsi="仿宋" w:eastAsia="仿宋" w:cs="仿宋"/>
          <w:color w:val="auto"/>
          <w:sz w:val="24"/>
          <w:highlight w:val="none"/>
        </w:rPr>
      </w:pPr>
    </w:p>
    <w:p>
      <w:pPr>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表</w:t>
      </w:r>
      <w:r>
        <w:rPr>
          <w:rFonts w:hint="eastAsia" w:ascii="仿宋" w:hAnsi="仿宋" w:eastAsia="仿宋" w:cs="仿宋"/>
          <w:color w:val="auto"/>
          <w:sz w:val="24"/>
          <w:highlight w:val="none"/>
          <w:lang w:val="en-US" w:eastAsia="zh-CN"/>
        </w:rPr>
        <w:t>八</w:t>
      </w:r>
      <w:r>
        <w:rPr>
          <w:rFonts w:hint="eastAsia" w:ascii="仿宋" w:hAnsi="仿宋" w:eastAsia="仿宋" w:cs="仿宋"/>
          <w:color w:val="auto"/>
          <w:sz w:val="24"/>
          <w:highlight w:val="none"/>
        </w:rPr>
        <w:t>：国有资本经营预算财政拨款支出决算表</w:t>
      </w:r>
    </w:p>
    <w:p>
      <w:pPr>
        <w:jc w:val="left"/>
        <w:rPr>
          <w:rFonts w:hint="eastAsia" w:ascii="仿宋" w:hAnsi="仿宋" w:eastAsia="仿宋" w:cs="仿宋"/>
          <w:color w:val="auto"/>
          <w:sz w:val="24"/>
          <w:highlight w:val="none"/>
        </w:rPr>
      </w:pPr>
    </w:p>
    <w:tbl>
      <w:tblPr>
        <w:tblStyle w:val="7"/>
        <w:tblW w:w="13940" w:type="dxa"/>
        <w:tblInd w:w="96" w:type="dxa"/>
        <w:tblLayout w:type="fixed"/>
        <w:tblCellMar>
          <w:top w:w="0" w:type="dxa"/>
          <w:left w:w="108" w:type="dxa"/>
          <w:bottom w:w="0" w:type="dxa"/>
          <w:right w:w="108" w:type="dxa"/>
        </w:tblCellMar>
      </w:tblPr>
      <w:tblGrid>
        <w:gridCol w:w="1638"/>
        <w:gridCol w:w="501"/>
        <w:gridCol w:w="285"/>
        <w:gridCol w:w="363"/>
        <w:gridCol w:w="1960"/>
        <w:gridCol w:w="2993"/>
        <w:gridCol w:w="3135"/>
        <w:gridCol w:w="3065"/>
      </w:tblGrid>
      <w:tr>
        <w:tblPrEx>
          <w:tblCellMar>
            <w:top w:w="0" w:type="dxa"/>
            <w:left w:w="108" w:type="dxa"/>
            <w:bottom w:w="0" w:type="dxa"/>
            <w:right w:w="108" w:type="dxa"/>
          </w:tblCellMar>
        </w:tblPrEx>
        <w:trPr>
          <w:trHeight w:val="384" w:hRule="atLeast"/>
        </w:trPr>
        <w:tc>
          <w:tcPr>
            <w:tcW w:w="13940" w:type="dxa"/>
            <w:gridSpan w:val="8"/>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国有资本经营预算财政拨款支出决算表</w:t>
            </w:r>
          </w:p>
        </w:tc>
      </w:tr>
      <w:tr>
        <w:tblPrEx>
          <w:tblCellMar>
            <w:top w:w="0" w:type="dxa"/>
            <w:left w:w="108" w:type="dxa"/>
            <w:bottom w:w="0" w:type="dxa"/>
            <w:right w:w="108" w:type="dxa"/>
          </w:tblCellMar>
        </w:tblPrEx>
        <w:trPr>
          <w:trHeight w:val="264" w:hRule="atLeast"/>
        </w:trPr>
        <w:tc>
          <w:tcPr>
            <w:tcW w:w="2139" w:type="dxa"/>
            <w:gridSpan w:val="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85"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6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96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99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135"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065"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公开09表</w:t>
            </w:r>
          </w:p>
        </w:tc>
      </w:tr>
      <w:tr>
        <w:tblPrEx>
          <w:tblCellMar>
            <w:top w:w="0" w:type="dxa"/>
            <w:left w:w="108" w:type="dxa"/>
            <w:bottom w:w="0" w:type="dxa"/>
            <w:right w:w="108" w:type="dxa"/>
          </w:tblCellMar>
        </w:tblPrEx>
        <w:trPr>
          <w:trHeight w:val="264" w:hRule="atLeast"/>
        </w:trPr>
        <w:tc>
          <w:tcPr>
            <w:tcW w:w="7740" w:type="dxa"/>
            <w:gridSpan w:val="6"/>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百色市群众工作服务中心</w:t>
            </w:r>
          </w:p>
        </w:tc>
        <w:tc>
          <w:tcPr>
            <w:tcW w:w="3135"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3065"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trHeight w:val="308" w:hRule="atLeast"/>
        </w:trPr>
        <w:tc>
          <w:tcPr>
            <w:tcW w:w="4747"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w:t>
            </w:r>
          </w:p>
        </w:tc>
        <w:tc>
          <w:tcPr>
            <w:tcW w:w="919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本年支出</w:t>
            </w:r>
          </w:p>
        </w:tc>
      </w:tr>
      <w:tr>
        <w:tblPrEx>
          <w:tblCellMar>
            <w:top w:w="0" w:type="dxa"/>
            <w:left w:w="108" w:type="dxa"/>
            <w:bottom w:w="0" w:type="dxa"/>
            <w:right w:w="108" w:type="dxa"/>
          </w:tblCellMar>
        </w:tblPrEx>
        <w:trPr>
          <w:trHeight w:val="312" w:hRule="atLeast"/>
        </w:trPr>
        <w:tc>
          <w:tcPr>
            <w:tcW w:w="1638"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功能分类科目编码</w:t>
            </w:r>
          </w:p>
        </w:tc>
        <w:tc>
          <w:tcPr>
            <w:tcW w:w="3109" w:type="dxa"/>
            <w:gridSpan w:val="4"/>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科目名称</w:t>
            </w:r>
          </w:p>
        </w:tc>
        <w:tc>
          <w:tcPr>
            <w:tcW w:w="299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3135"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基本支出</w:t>
            </w:r>
          </w:p>
        </w:tc>
        <w:tc>
          <w:tcPr>
            <w:tcW w:w="3065"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项目支出</w:t>
            </w:r>
          </w:p>
        </w:tc>
      </w:tr>
      <w:tr>
        <w:tblPrEx>
          <w:tblCellMar>
            <w:top w:w="0" w:type="dxa"/>
            <w:left w:w="108" w:type="dxa"/>
            <w:bottom w:w="0" w:type="dxa"/>
            <w:right w:w="108" w:type="dxa"/>
          </w:tblCellMar>
        </w:tblPrEx>
        <w:trPr>
          <w:trHeight w:val="312" w:hRule="atLeast"/>
        </w:trPr>
        <w:tc>
          <w:tcPr>
            <w:tcW w:w="1638"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09" w:type="dxa"/>
            <w:gridSpan w:val="4"/>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993"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35"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065"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12" w:hRule="atLeast"/>
        </w:trPr>
        <w:tc>
          <w:tcPr>
            <w:tcW w:w="1638"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09" w:type="dxa"/>
            <w:gridSpan w:val="4"/>
            <w:vMerge w:val="continue"/>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2993"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135"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3065"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08" w:hRule="atLeast"/>
        </w:trPr>
        <w:tc>
          <w:tcPr>
            <w:tcW w:w="4747" w:type="dxa"/>
            <w:gridSpan w:val="5"/>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栏次</w:t>
            </w: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r>
      <w:tr>
        <w:tblPrEx>
          <w:tblCellMar>
            <w:top w:w="0" w:type="dxa"/>
            <w:left w:w="108" w:type="dxa"/>
            <w:bottom w:w="0" w:type="dxa"/>
            <w:right w:w="108" w:type="dxa"/>
          </w:tblCellMar>
        </w:tblPrEx>
        <w:trPr>
          <w:trHeight w:val="308" w:hRule="atLeast"/>
        </w:trPr>
        <w:tc>
          <w:tcPr>
            <w:tcW w:w="4747" w:type="dxa"/>
            <w:gridSpan w:val="5"/>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trHeight w:val="308" w:hRule="atLeast"/>
        </w:trPr>
        <w:tc>
          <w:tcPr>
            <w:tcW w:w="1638" w:type="dxa"/>
            <w:tcBorders>
              <w:top w:val="nil"/>
              <w:left w:val="single" w:color="000000" w:sz="4" w:space="0"/>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3109" w:type="dxa"/>
            <w:gridSpan w:val="4"/>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left"/>
              <w:rPr>
                <w:rFonts w:hint="default" w:ascii="宋体" w:hAnsi="宋体" w:eastAsia="宋体" w:cs="宋体"/>
                <w:color w:val="auto"/>
                <w:sz w:val="22"/>
                <w:szCs w:val="22"/>
                <w:highlight w:val="none"/>
              </w:rPr>
            </w:pPr>
          </w:p>
        </w:tc>
        <w:tc>
          <w:tcPr>
            <w:tcW w:w="299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313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c>
          <w:tcPr>
            <w:tcW w:w="306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p>
        </w:tc>
      </w:tr>
    </w:tbl>
    <w:p>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注：</w:t>
      </w:r>
      <w:r>
        <w:rPr>
          <w:rFonts w:hint="eastAsia" w:ascii="宋体" w:hAnsi="宋体" w:eastAsia="宋体" w:cs="宋体"/>
          <w:color w:val="auto"/>
          <w:kern w:val="2"/>
          <w:sz w:val="21"/>
          <w:szCs w:val="21"/>
          <w:lang w:val="en-US" w:eastAsia="zh-CN" w:bidi="ar"/>
        </w:rPr>
        <w:t>本部门</w:t>
      </w:r>
      <w:r>
        <w:rPr>
          <w:rFonts w:hint="default" w:ascii="Times New Roman" w:hAnsi="Times New Roman" w:eastAsia="宋体" w:cs="Times New Roman"/>
          <w:color w:val="auto"/>
          <w:kern w:val="2"/>
          <w:sz w:val="21"/>
          <w:szCs w:val="21"/>
          <w:lang w:val="en-US" w:eastAsia="zh-CN" w:bidi="ar"/>
        </w:rPr>
        <w:t>2022</w:t>
      </w:r>
      <w:r>
        <w:rPr>
          <w:rFonts w:hint="eastAsia" w:ascii="宋体" w:hAnsi="宋体" w:eastAsia="宋体" w:cs="宋体"/>
          <w:color w:val="auto"/>
          <w:kern w:val="2"/>
          <w:sz w:val="21"/>
          <w:szCs w:val="21"/>
          <w:lang w:val="en-US" w:eastAsia="zh-CN" w:bidi="ar"/>
        </w:rPr>
        <w:t>年度没有国有资本经营预算财政拨款收入，也没有国有资本经营预算财政拨款安排的支出，故本表无数据。</w:t>
      </w:r>
      <w:r>
        <w:rPr>
          <w:rFonts w:hint="eastAsia" w:ascii="宋体" w:hAnsi="宋体" w:eastAsia="宋体" w:cs="宋体"/>
          <w:color w:val="auto"/>
          <w:kern w:val="0"/>
          <w:sz w:val="22"/>
          <w:szCs w:val="22"/>
          <w:highlight w:val="none"/>
          <w:lang w:bidi="ar"/>
        </w:rPr>
        <w:br w:type="page"/>
      </w:r>
    </w:p>
    <w:tbl>
      <w:tblPr>
        <w:tblStyle w:val="7"/>
        <w:tblW w:w="14036" w:type="dxa"/>
        <w:tblInd w:w="0" w:type="dxa"/>
        <w:tblLayout w:type="fixed"/>
        <w:tblCellMar>
          <w:top w:w="0" w:type="dxa"/>
          <w:left w:w="108" w:type="dxa"/>
          <w:bottom w:w="0" w:type="dxa"/>
          <w:right w:w="108" w:type="dxa"/>
        </w:tblCellMar>
      </w:tblPr>
      <w:tblGrid>
        <w:gridCol w:w="96"/>
        <w:gridCol w:w="1438"/>
        <w:gridCol w:w="1425"/>
        <w:gridCol w:w="1094"/>
        <w:gridCol w:w="1159"/>
        <w:gridCol w:w="1133"/>
        <w:gridCol w:w="1040"/>
        <w:gridCol w:w="1066"/>
        <w:gridCol w:w="1161"/>
        <w:gridCol w:w="1053"/>
        <w:gridCol w:w="1148"/>
        <w:gridCol w:w="1133"/>
        <w:gridCol w:w="1073"/>
        <w:gridCol w:w="17"/>
      </w:tblGrid>
      <w:tr>
        <w:tblPrEx>
          <w:tblCellMar>
            <w:top w:w="0" w:type="dxa"/>
            <w:left w:w="108" w:type="dxa"/>
            <w:bottom w:w="0" w:type="dxa"/>
            <w:right w:w="108" w:type="dxa"/>
          </w:tblCellMar>
        </w:tblPrEx>
        <w:trPr>
          <w:gridBefore w:val="1"/>
          <w:wBefore w:w="96" w:type="dxa"/>
          <w:trHeight w:val="308" w:hRule="atLeast"/>
        </w:trPr>
        <w:tc>
          <w:tcPr>
            <w:tcW w:w="13940" w:type="dxa"/>
            <w:gridSpan w:val="13"/>
            <w:tcBorders>
              <w:top w:val="nil"/>
              <w:left w:val="nil"/>
              <w:bottom w:val="nil"/>
              <w:right w:val="nil"/>
            </w:tcBorders>
            <w:shd w:val="clear" w:color="auto" w:fill="auto"/>
            <w:noWrap/>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p>
        </w:tc>
      </w:tr>
      <w:tr>
        <w:tblPrEx>
          <w:tblCellMar>
            <w:top w:w="0" w:type="dxa"/>
            <w:left w:w="108" w:type="dxa"/>
            <w:bottom w:w="0" w:type="dxa"/>
            <w:right w:w="108" w:type="dxa"/>
          </w:tblCellMar>
        </w:tblPrEx>
        <w:trPr>
          <w:gridAfter w:val="1"/>
          <w:wAfter w:w="17" w:type="dxa"/>
          <w:trHeight w:val="632" w:hRule="atLeast"/>
        </w:trPr>
        <w:tc>
          <w:tcPr>
            <w:tcW w:w="14019" w:type="dxa"/>
            <w:gridSpan w:val="13"/>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jc w:val="left"/>
              <w:rPr>
                <w:rFonts w:hint="default" w:ascii="仿宋" w:hAnsi="仿宋" w:eastAsia="仿宋" w:cs="仿宋"/>
                <w:color w:val="auto"/>
                <w:sz w:val="24"/>
                <w:highlight w:val="none"/>
              </w:rPr>
            </w:pPr>
            <w:r>
              <w:rPr>
                <w:rFonts w:hint="eastAsia" w:ascii="仿宋" w:hAnsi="仿宋" w:eastAsia="仿宋" w:cs="仿宋"/>
                <w:color w:val="auto"/>
                <w:sz w:val="24"/>
                <w:highlight w:val="none"/>
                <w:lang w:val="en-US" w:eastAsia="zh-CN"/>
              </w:rPr>
              <w:t>表九：</w:t>
            </w:r>
            <w:r>
              <w:rPr>
                <w:rFonts w:hint="eastAsia" w:ascii="仿宋" w:hAnsi="仿宋" w:eastAsia="仿宋" w:cs="仿宋"/>
                <w:color w:val="auto"/>
                <w:sz w:val="24"/>
                <w:highlight w:val="none"/>
              </w:rPr>
              <w:t>一般公共预算财政拨款安排的“三公”经费支出决算表</w:t>
            </w:r>
          </w:p>
          <w:p>
            <w:pPr>
              <w:keepNext w:val="0"/>
              <w:keepLines w:val="0"/>
              <w:widowControl/>
              <w:suppressLineNumbers w:val="0"/>
              <w:spacing w:before="0" w:beforeAutospacing="0" w:after="0" w:afterAutospacing="0"/>
              <w:ind w:left="0" w:right="0"/>
              <w:jc w:val="center"/>
              <w:textAlignment w:val="bottom"/>
              <w:rPr>
                <w:rFonts w:hint="eastAsia" w:ascii="宋体" w:hAnsi="宋体" w:eastAsia="宋体" w:cs="宋体"/>
                <w:color w:val="auto"/>
                <w:kern w:val="0"/>
                <w:sz w:val="30"/>
                <w:szCs w:val="30"/>
                <w:highlight w:val="none"/>
                <w:lang w:bidi="ar"/>
              </w:rPr>
            </w:pPr>
          </w:p>
          <w:p>
            <w:pPr>
              <w:keepNext w:val="0"/>
              <w:keepLines w:val="0"/>
              <w:widowControl/>
              <w:suppressLineNumbers w:val="0"/>
              <w:spacing w:before="0" w:beforeAutospacing="0" w:after="0" w:afterAutospacing="0"/>
              <w:ind w:left="0" w:right="0"/>
              <w:jc w:val="center"/>
              <w:textAlignment w:val="bottom"/>
              <w:rPr>
                <w:rFonts w:hint="default" w:ascii="宋体" w:hAnsi="宋体" w:eastAsia="宋体" w:cs="宋体"/>
                <w:color w:val="auto"/>
                <w:sz w:val="30"/>
                <w:szCs w:val="30"/>
                <w:highlight w:val="none"/>
              </w:rPr>
            </w:pPr>
            <w:r>
              <w:rPr>
                <w:rFonts w:hint="eastAsia" w:ascii="宋体" w:hAnsi="宋体" w:eastAsia="宋体" w:cs="宋体"/>
                <w:color w:val="auto"/>
                <w:kern w:val="0"/>
                <w:sz w:val="32"/>
                <w:szCs w:val="32"/>
                <w:highlight w:val="none"/>
                <w:lang w:bidi="ar"/>
              </w:rPr>
              <w:t>一般公共预算财政拨款“三公”经费支出决算表</w:t>
            </w:r>
          </w:p>
        </w:tc>
      </w:tr>
      <w:tr>
        <w:tblPrEx>
          <w:tblCellMar>
            <w:top w:w="0" w:type="dxa"/>
            <w:left w:w="108" w:type="dxa"/>
            <w:bottom w:w="0" w:type="dxa"/>
            <w:right w:w="108" w:type="dxa"/>
          </w:tblCellMar>
        </w:tblPrEx>
        <w:trPr>
          <w:gridAfter w:val="1"/>
          <w:wAfter w:w="17" w:type="dxa"/>
          <w:trHeight w:val="316" w:hRule="atLeast"/>
        </w:trPr>
        <w:tc>
          <w:tcPr>
            <w:tcW w:w="1534" w:type="dxa"/>
            <w:gridSpan w:val="2"/>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425"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94"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59"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3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40"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6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61"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5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48"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3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73" w:type="dxa"/>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公开07表</w:t>
            </w:r>
          </w:p>
        </w:tc>
      </w:tr>
      <w:tr>
        <w:tblPrEx>
          <w:tblCellMar>
            <w:top w:w="0" w:type="dxa"/>
            <w:left w:w="108" w:type="dxa"/>
            <w:bottom w:w="0" w:type="dxa"/>
            <w:right w:w="108" w:type="dxa"/>
          </w:tblCellMar>
        </w:tblPrEx>
        <w:trPr>
          <w:gridAfter w:val="1"/>
          <w:wAfter w:w="17" w:type="dxa"/>
          <w:trHeight w:val="316" w:hRule="atLeast"/>
        </w:trPr>
        <w:tc>
          <w:tcPr>
            <w:tcW w:w="7385" w:type="dxa"/>
            <w:gridSpan w:val="7"/>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r>
              <w:rPr>
                <w:rFonts w:hint="eastAsia" w:ascii="宋体" w:hAnsi="宋体" w:eastAsia="宋体" w:cs="宋体"/>
                <w:color w:val="auto"/>
                <w:kern w:val="0"/>
                <w:sz w:val="20"/>
                <w:szCs w:val="20"/>
                <w:highlight w:val="none"/>
                <w:lang w:bidi="ar"/>
              </w:rPr>
              <w:t>部门：</w:t>
            </w:r>
            <w:r>
              <w:rPr>
                <w:rFonts w:ascii="宋体" w:hAnsi="宋体" w:eastAsia="宋体" w:cs="宋体"/>
                <w:color w:val="auto"/>
                <w:sz w:val="20"/>
                <w:u w:color="auto"/>
              </w:rPr>
              <w:t>百色市群众工作服务中心</w:t>
            </w:r>
          </w:p>
        </w:tc>
        <w:tc>
          <w:tcPr>
            <w:tcW w:w="1066"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61"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053"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1148" w:type="dxa"/>
            <w:tcBorders>
              <w:top w:val="nil"/>
              <w:left w:val="nil"/>
              <w:bottom w:val="nil"/>
              <w:right w:val="nil"/>
            </w:tcBorders>
            <w:shd w:val="clear" w:color="auto" w:fill="auto"/>
            <w:noWrap/>
            <w:vAlign w:val="bottom"/>
          </w:tcPr>
          <w:p>
            <w:pPr>
              <w:keepNext w:val="0"/>
              <w:keepLines w:val="0"/>
              <w:suppressLineNumbers w:val="0"/>
              <w:spacing w:before="0" w:beforeAutospacing="0" w:after="0" w:afterAutospacing="0"/>
              <w:ind w:left="0" w:right="0"/>
              <w:rPr>
                <w:rFonts w:hint="default" w:ascii="Arial" w:hAnsi="Arial" w:cs="Arial"/>
                <w:color w:val="auto"/>
                <w:sz w:val="20"/>
                <w:szCs w:val="20"/>
                <w:highlight w:val="none"/>
              </w:rPr>
            </w:pPr>
          </w:p>
        </w:tc>
        <w:tc>
          <w:tcPr>
            <w:tcW w:w="2206" w:type="dxa"/>
            <w:gridSpan w:val="2"/>
            <w:tcBorders>
              <w:top w:val="nil"/>
              <w:left w:val="nil"/>
              <w:bottom w:val="nil"/>
              <w:right w:val="nil"/>
            </w:tcBorders>
            <w:shd w:val="clear" w:color="auto" w:fill="auto"/>
            <w:noWrap/>
            <w:vAlign w:val="bottom"/>
          </w:tcPr>
          <w:p>
            <w:pPr>
              <w:keepNext w:val="0"/>
              <w:keepLines w:val="0"/>
              <w:widowControl/>
              <w:suppressLineNumbers w:val="0"/>
              <w:spacing w:before="0" w:beforeAutospacing="0" w:after="0" w:afterAutospacing="0"/>
              <w:ind w:left="0" w:right="0"/>
              <w:jc w:val="right"/>
              <w:textAlignment w:val="bottom"/>
              <w:rPr>
                <w:rFonts w:hint="default" w:ascii="宋体" w:hAnsi="宋体" w:eastAsia="宋体" w:cs="宋体"/>
                <w:color w:val="auto"/>
                <w:sz w:val="20"/>
                <w:szCs w:val="20"/>
                <w:highlight w:val="none"/>
              </w:rPr>
            </w:pPr>
            <w:r>
              <w:rPr>
                <w:rFonts w:hint="eastAsia" w:ascii="宋体" w:hAnsi="宋体" w:eastAsia="宋体" w:cs="宋体"/>
                <w:color w:val="auto"/>
                <w:kern w:val="0"/>
                <w:sz w:val="20"/>
                <w:szCs w:val="20"/>
                <w:highlight w:val="none"/>
                <w:lang w:bidi="ar"/>
              </w:rPr>
              <w:t>金额单位：万元</w:t>
            </w:r>
          </w:p>
        </w:tc>
      </w:tr>
      <w:tr>
        <w:tblPrEx>
          <w:tblCellMar>
            <w:top w:w="0" w:type="dxa"/>
            <w:left w:w="108" w:type="dxa"/>
            <w:bottom w:w="0" w:type="dxa"/>
            <w:right w:w="108" w:type="dxa"/>
          </w:tblCellMar>
        </w:tblPrEx>
        <w:trPr>
          <w:gridAfter w:val="1"/>
          <w:wAfter w:w="17" w:type="dxa"/>
          <w:trHeight w:val="326" w:hRule="atLeast"/>
        </w:trPr>
        <w:tc>
          <w:tcPr>
            <w:tcW w:w="738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预算数</w:t>
            </w:r>
          </w:p>
        </w:tc>
        <w:tc>
          <w:tcPr>
            <w:tcW w:w="6634" w:type="dxa"/>
            <w:gridSpan w:val="6"/>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决算数</w:t>
            </w:r>
          </w:p>
        </w:tc>
      </w:tr>
      <w:tr>
        <w:tblPrEx>
          <w:tblCellMar>
            <w:top w:w="0" w:type="dxa"/>
            <w:left w:w="108" w:type="dxa"/>
            <w:bottom w:w="0" w:type="dxa"/>
            <w:right w:w="108" w:type="dxa"/>
          </w:tblCellMar>
        </w:tblPrEx>
        <w:trPr>
          <w:gridAfter w:val="1"/>
          <w:wAfter w:w="17" w:type="dxa"/>
          <w:trHeight w:val="326" w:hRule="atLeast"/>
        </w:trPr>
        <w:tc>
          <w:tcPr>
            <w:tcW w:w="1534"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1425"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因公出国（境）费</w:t>
            </w:r>
          </w:p>
        </w:tc>
        <w:tc>
          <w:tcPr>
            <w:tcW w:w="3386"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公务用车购置及运行费</w:t>
            </w:r>
          </w:p>
        </w:tc>
        <w:tc>
          <w:tcPr>
            <w:tcW w:w="104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公务接待费</w:t>
            </w:r>
          </w:p>
        </w:tc>
        <w:tc>
          <w:tcPr>
            <w:tcW w:w="106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合计</w:t>
            </w:r>
          </w:p>
        </w:tc>
        <w:tc>
          <w:tcPr>
            <w:tcW w:w="1161"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因公出国（境）费</w:t>
            </w:r>
          </w:p>
        </w:tc>
        <w:tc>
          <w:tcPr>
            <w:tcW w:w="3334" w:type="dxa"/>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公务用车购置及运行费</w:t>
            </w:r>
          </w:p>
        </w:tc>
        <w:tc>
          <w:tcPr>
            <w:tcW w:w="107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公务接待费</w:t>
            </w:r>
          </w:p>
        </w:tc>
      </w:tr>
      <w:tr>
        <w:tblPrEx>
          <w:tblCellMar>
            <w:top w:w="0" w:type="dxa"/>
            <w:left w:w="108" w:type="dxa"/>
            <w:bottom w:w="0" w:type="dxa"/>
            <w:right w:w="108" w:type="dxa"/>
          </w:tblCellMar>
        </w:tblPrEx>
        <w:trPr>
          <w:gridAfter w:val="1"/>
          <w:wAfter w:w="17" w:type="dxa"/>
          <w:trHeight w:val="642" w:hRule="atLeast"/>
        </w:trPr>
        <w:tc>
          <w:tcPr>
            <w:tcW w:w="1534"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425"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09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小计</w:t>
            </w:r>
          </w:p>
        </w:tc>
        <w:tc>
          <w:tcPr>
            <w:tcW w:w="115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公务用车购置费</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公务用车运行费</w:t>
            </w:r>
          </w:p>
        </w:tc>
        <w:tc>
          <w:tcPr>
            <w:tcW w:w="1040"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066"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161"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c>
          <w:tcPr>
            <w:tcW w:w="105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小计</w:t>
            </w:r>
          </w:p>
        </w:tc>
        <w:tc>
          <w:tcPr>
            <w:tcW w:w="114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公务用车购置费</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公务用车运行费</w:t>
            </w:r>
          </w:p>
        </w:tc>
        <w:tc>
          <w:tcPr>
            <w:tcW w:w="1073" w:type="dxa"/>
            <w:vMerge w:val="continue"/>
            <w:tcBorders>
              <w:top w:val="nil"/>
              <w:left w:val="nil"/>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auto"/>
                <w:sz w:val="22"/>
                <w:szCs w:val="22"/>
                <w:highlight w:val="none"/>
              </w:rPr>
            </w:pPr>
          </w:p>
        </w:tc>
      </w:tr>
      <w:tr>
        <w:tblPrEx>
          <w:tblCellMar>
            <w:top w:w="0" w:type="dxa"/>
            <w:left w:w="108" w:type="dxa"/>
            <w:bottom w:w="0" w:type="dxa"/>
            <w:right w:w="108" w:type="dxa"/>
          </w:tblCellMar>
        </w:tblPrEx>
        <w:trPr>
          <w:gridAfter w:val="1"/>
          <w:wAfter w:w="17" w:type="dxa"/>
          <w:trHeight w:val="959" w:hRule="atLeast"/>
        </w:trPr>
        <w:tc>
          <w:tcPr>
            <w:tcW w:w="1534"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1</w:t>
            </w:r>
          </w:p>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p>
        </w:tc>
        <w:tc>
          <w:tcPr>
            <w:tcW w:w="142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2</w:t>
            </w:r>
          </w:p>
        </w:tc>
        <w:tc>
          <w:tcPr>
            <w:tcW w:w="109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3</w:t>
            </w:r>
          </w:p>
        </w:tc>
        <w:tc>
          <w:tcPr>
            <w:tcW w:w="1159"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4</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5</w:t>
            </w:r>
          </w:p>
        </w:tc>
        <w:tc>
          <w:tcPr>
            <w:tcW w:w="104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6</w:t>
            </w:r>
          </w:p>
        </w:tc>
        <w:tc>
          <w:tcPr>
            <w:tcW w:w="1066"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7</w:t>
            </w:r>
          </w:p>
        </w:tc>
        <w:tc>
          <w:tcPr>
            <w:tcW w:w="1161"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8</w:t>
            </w:r>
          </w:p>
        </w:tc>
        <w:tc>
          <w:tcPr>
            <w:tcW w:w="105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9</w:t>
            </w:r>
          </w:p>
        </w:tc>
        <w:tc>
          <w:tcPr>
            <w:tcW w:w="1148"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10</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11</w:t>
            </w:r>
          </w:p>
        </w:tc>
        <w:tc>
          <w:tcPr>
            <w:tcW w:w="1073"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bidi="ar"/>
              </w:rPr>
              <w:t>12</w:t>
            </w:r>
          </w:p>
        </w:tc>
      </w:tr>
      <w:tr>
        <w:tblPrEx>
          <w:tblCellMar>
            <w:top w:w="0" w:type="dxa"/>
            <w:left w:w="108" w:type="dxa"/>
            <w:bottom w:w="0" w:type="dxa"/>
            <w:right w:w="108" w:type="dxa"/>
          </w:tblCellMar>
        </w:tblPrEx>
        <w:trPr>
          <w:gridAfter w:val="1"/>
          <w:wAfter w:w="17" w:type="dxa"/>
          <w:trHeight w:val="642" w:hRule="atLeast"/>
        </w:trPr>
        <w:tc>
          <w:tcPr>
            <w:tcW w:w="1534" w:type="dxa"/>
            <w:gridSpan w:val="2"/>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425"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094"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159"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13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default" w:ascii="宋体" w:hAnsi="宋体" w:eastAsia="宋体" w:cs="宋体"/>
                <w:color w:val="auto"/>
                <w:sz w:val="22"/>
                <w:szCs w:val="22"/>
                <w:highlight w:val="none"/>
              </w:rPr>
              <w:t>0.00</w:t>
            </w:r>
          </w:p>
        </w:tc>
        <w:tc>
          <w:tcPr>
            <w:tcW w:w="1040"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066" w:type="dxa"/>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righ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0.00</w:t>
            </w:r>
          </w:p>
        </w:tc>
        <w:tc>
          <w:tcPr>
            <w:tcW w:w="1161"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053"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148" w:type="dxa"/>
            <w:tcBorders>
              <w:top w:val="nil"/>
              <w:left w:val="nil"/>
              <w:bottom w:val="single" w:color="000000" w:sz="4" w:space="0"/>
              <w:right w:val="single" w:color="000000" w:sz="4" w:space="0"/>
            </w:tcBorders>
            <w:shd w:val="clear" w:color="auto" w:fill="auto"/>
            <w:noWrap/>
            <w:vAlign w:val="center"/>
          </w:tcPr>
          <w:p>
            <w:pPr>
              <w:keepNext w:val="0"/>
              <w:keepLines w:val="0"/>
              <w:suppressLineNumbers w:val="0"/>
              <w:spacing w:before="0" w:beforeAutospacing="0" w:after="0" w:afterAutospacing="0"/>
              <w:ind w:left="0" w:right="0"/>
              <w:jc w:val="right"/>
              <w:rPr>
                <w:rFonts w:hint="default" w:ascii="宋体" w:hAnsi="宋体" w:eastAsia="宋体" w:cs="宋体"/>
                <w:color w:val="auto"/>
                <w:sz w:val="22"/>
                <w:szCs w:val="22"/>
                <w:highlight w:val="none"/>
              </w:rPr>
            </w:pPr>
            <w:r>
              <w:rPr>
                <w:rFonts w:hint="eastAsia" w:ascii="宋体" w:hAnsi="宋体" w:eastAsia="宋体" w:cs="宋体"/>
                <w:color w:val="auto"/>
                <w:sz w:val="22"/>
                <w:szCs w:val="22"/>
                <w:highlight w:val="none"/>
              </w:rPr>
              <w:t>0.00</w:t>
            </w:r>
          </w:p>
        </w:tc>
        <w:tc>
          <w:tcPr>
            <w:tcW w:w="1133" w:type="dxa"/>
            <w:tcBorders>
              <w:top w:val="nil"/>
              <w:left w:val="nil"/>
              <w:bottom w:val="single" w:color="000000" w:sz="4" w:space="0"/>
              <w:right w:val="single" w:color="000000" w:sz="4" w:space="0"/>
            </w:tcBorders>
            <w:shd w:val="clear" w:color="auto" w:fill="auto"/>
            <w:noWrap/>
          </w:tcPr>
          <w:p>
            <w:pPr>
              <w:keepNext w:val="0"/>
              <w:keepLines w:val="0"/>
              <w:suppressLineNumbers w:val="0"/>
              <w:spacing w:before="0" w:beforeAutospacing="0" w:after="0" w:afterAutospacing="0"/>
              <w:ind w:left="0" w:right="0"/>
              <w:jc w:val="right"/>
              <w:rPr>
                <w:rFonts w:hint="default"/>
                <w:color w:val="auto"/>
                <w:highlight w:val="none"/>
              </w:rPr>
            </w:pPr>
            <w:r>
              <w:rPr>
                <w:rFonts w:hint="default"/>
                <w:color w:val="auto"/>
                <w:highlight w:val="none"/>
              </w:rPr>
              <w:t>0.00</w:t>
            </w:r>
          </w:p>
        </w:tc>
        <w:tc>
          <w:tcPr>
            <w:tcW w:w="1073" w:type="dxa"/>
            <w:tcBorders>
              <w:top w:val="nil"/>
              <w:left w:val="nil"/>
              <w:bottom w:val="single" w:color="000000" w:sz="4" w:space="0"/>
              <w:right w:val="single" w:color="000000" w:sz="4" w:space="0"/>
            </w:tcBorders>
            <w:shd w:val="clear" w:color="auto" w:fill="auto"/>
            <w:noWrap/>
          </w:tcPr>
          <w:p>
            <w:pPr>
              <w:keepNext w:val="0"/>
              <w:keepLines w:val="0"/>
              <w:suppressLineNumbers w:val="0"/>
              <w:spacing w:before="0" w:beforeAutospacing="0" w:after="0" w:afterAutospacing="0"/>
              <w:ind w:left="0" w:right="0"/>
              <w:jc w:val="right"/>
              <w:rPr>
                <w:rFonts w:hint="default"/>
                <w:color w:val="auto"/>
                <w:highlight w:val="none"/>
              </w:rPr>
            </w:pPr>
            <w:r>
              <w:rPr>
                <w:rFonts w:hint="eastAsia" w:ascii="宋体" w:hAnsi="宋体" w:eastAsia="宋体" w:cs="宋体"/>
                <w:color w:val="auto"/>
                <w:kern w:val="0"/>
                <w:sz w:val="22"/>
                <w:szCs w:val="22"/>
                <w:highlight w:val="none"/>
                <w:lang w:bidi="ar"/>
              </w:rPr>
              <w:t>0.00</w:t>
            </w:r>
          </w:p>
        </w:tc>
      </w:tr>
      <w:tr>
        <w:tblPrEx>
          <w:tblCellMar>
            <w:top w:w="0" w:type="dxa"/>
            <w:left w:w="108" w:type="dxa"/>
            <w:bottom w:w="0" w:type="dxa"/>
            <w:right w:w="108" w:type="dxa"/>
          </w:tblCellMar>
        </w:tblPrEx>
        <w:trPr>
          <w:gridAfter w:val="1"/>
          <w:wAfter w:w="17" w:type="dxa"/>
          <w:trHeight w:val="642" w:hRule="atLeast"/>
        </w:trPr>
        <w:tc>
          <w:tcPr>
            <w:tcW w:w="14019" w:type="dxa"/>
            <w:gridSpan w:val="13"/>
            <w:tcBorders>
              <w:top w:val="nil"/>
              <w:left w:val="nil"/>
              <w:bottom w:val="nil"/>
              <w:right w:val="nil"/>
            </w:tcBorders>
            <w:shd w:val="clear" w:color="auto" w:fill="auto"/>
            <w:vAlign w:val="center"/>
          </w:tcPr>
          <w:p>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注：</w:t>
            </w:r>
            <w:r>
              <w:rPr>
                <w:rFonts w:hint="eastAsia" w:ascii="宋体" w:hAnsi="宋体" w:eastAsia="宋体" w:cs="宋体"/>
                <w:color w:val="auto"/>
                <w:kern w:val="2"/>
                <w:sz w:val="21"/>
                <w:szCs w:val="21"/>
                <w:lang w:val="en-US" w:eastAsia="zh-CN" w:bidi="ar"/>
              </w:rPr>
              <w:t>本部门</w:t>
            </w:r>
            <w:r>
              <w:rPr>
                <w:rFonts w:hint="default" w:ascii="Times New Roman" w:hAnsi="Times New Roman" w:eastAsia="宋体" w:cs="Times New Roman"/>
                <w:color w:val="auto"/>
                <w:kern w:val="2"/>
                <w:sz w:val="21"/>
                <w:szCs w:val="21"/>
                <w:lang w:val="en-US" w:eastAsia="zh-CN" w:bidi="ar"/>
              </w:rPr>
              <w:t>2022</w:t>
            </w:r>
            <w:r>
              <w:rPr>
                <w:rFonts w:hint="eastAsia" w:ascii="宋体" w:hAnsi="宋体" w:eastAsia="宋体" w:cs="宋体"/>
                <w:color w:val="auto"/>
                <w:kern w:val="2"/>
                <w:sz w:val="21"/>
                <w:szCs w:val="21"/>
                <w:lang w:val="en-US" w:eastAsia="zh-CN" w:bidi="ar"/>
              </w:rPr>
              <w:t>年度没有一般公共预算财政拨款“三公”经费收入，也没有一般公共预算财政拨款“三公”经费安排的支出，故本表无数据”。</w:t>
            </w:r>
          </w:p>
        </w:tc>
      </w:tr>
    </w:tbl>
    <w:p>
      <w:pPr>
        <w:ind w:firstLine="420" w:firstLineChars="0"/>
        <w:jc w:val="left"/>
        <w:rPr>
          <w:rFonts w:ascii="仿宋" w:hAnsi="仿宋" w:eastAsia="仿宋" w:cs="仿宋"/>
          <w:color w:val="auto"/>
          <w:sz w:val="24"/>
          <w:highlight w:val="none"/>
        </w:rPr>
        <w:sectPr>
          <w:pgSz w:w="16838" w:h="11906" w:orient="landscape"/>
          <w:pgMar w:top="1800" w:right="1440" w:bottom="1800" w:left="1440" w:header="851" w:footer="992" w:gutter="0"/>
          <w:cols w:space="425" w:num="1"/>
          <w:docGrid w:type="lines" w:linePitch="312" w:charSpace="0"/>
        </w:sectPr>
      </w:pPr>
    </w:p>
    <w:p>
      <w:pPr>
        <w:pStyle w:val="6"/>
        <w:widowControl/>
        <w:spacing w:before="450" w:beforeAutospacing="0" w:after="450" w:afterAutospacing="0" w:line="420" w:lineRule="atLeast"/>
        <w:jc w:val="center"/>
        <w:rPr>
          <w:color w:val="auto"/>
        </w:rPr>
      </w:pPr>
      <w:r>
        <w:rPr>
          <w:rFonts w:hint="eastAsia" w:ascii="黑体" w:hAnsi="宋体" w:eastAsia="黑体" w:cs="黑体"/>
          <w:color w:val="auto"/>
          <w:sz w:val="36"/>
          <w:szCs w:val="36"/>
          <w:shd w:val="clear" w:color="auto" w:fill="FFFFFF"/>
        </w:rPr>
        <w:t>第三部分：</w:t>
      </w:r>
      <w:r>
        <w:rPr>
          <w:rFonts w:hint="eastAsia" w:ascii="黑体" w:hAnsi="黑体" w:eastAsia="黑体"/>
          <w:bCs/>
          <w:color w:val="auto"/>
          <w:sz w:val="32"/>
          <w:szCs w:val="32"/>
          <w:u w:val="single"/>
        </w:rPr>
        <w:t>百色市群众工作服务中心</w:t>
      </w:r>
      <w:r>
        <w:rPr>
          <w:rFonts w:hint="eastAsia" w:ascii="黑体" w:hAnsi="宋体" w:eastAsia="黑体" w:cs="黑体"/>
          <w:color w:val="auto"/>
          <w:sz w:val="36"/>
          <w:szCs w:val="36"/>
          <w:shd w:val="clear" w:color="auto" w:fill="FFFFFF"/>
        </w:rPr>
        <w:t>2022年度部门决算情况说明</w:t>
      </w:r>
    </w:p>
    <w:p>
      <w:pPr>
        <w:pStyle w:val="6"/>
        <w:widowControl/>
        <w:spacing w:before="450" w:beforeAutospacing="0" w:after="450" w:afterAutospacing="0" w:line="420" w:lineRule="atLeast"/>
        <w:ind w:firstLine="645"/>
        <w:rPr>
          <w:color w:val="auto"/>
          <w:sz w:val="32"/>
          <w:szCs w:val="32"/>
        </w:rPr>
      </w:pPr>
      <w:r>
        <w:rPr>
          <w:rFonts w:hint="eastAsia" w:ascii="黑体" w:hAnsi="宋体" w:eastAsia="黑体" w:cs="黑体"/>
          <w:color w:val="auto"/>
          <w:sz w:val="32"/>
          <w:szCs w:val="32"/>
          <w:shd w:val="clear" w:color="auto" w:fill="FFFFFF"/>
        </w:rPr>
        <w:t>一、2022年度收入支出决算总体情况</w:t>
      </w:r>
    </w:p>
    <w:p>
      <w:pPr>
        <w:pStyle w:val="6"/>
        <w:widowControl/>
        <w:spacing w:before="450" w:beforeAutospacing="0" w:after="450" w:afterAutospacing="0" w:line="420" w:lineRule="atLeast"/>
        <w:ind w:left="309" w:leftChars="147" w:firstLine="641" w:firstLineChars="207"/>
        <w:rPr>
          <w:rFonts w:hint="eastAsia" w:ascii="仿宋" w:hAnsi="仿宋" w:eastAsia="仿宋" w:cs="仿宋"/>
          <w:color w:val="auto"/>
          <w:sz w:val="31"/>
          <w:szCs w:val="31"/>
        </w:rPr>
      </w:pPr>
      <w:r>
        <w:rPr>
          <w:rFonts w:hint="eastAsia" w:ascii="仿宋" w:hAnsi="仿宋" w:eastAsia="仿宋" w:cs="仿宋"/>
          <w:color w:val="auto"/>
          <w:sz w:val="31"/>
          <w:szCs w:val="31"/>
          <w:shd w:val="clear" w:color="auto" w:fill="FFFFFF"/>
        </w:rPr>
        <w:t xml:space="preserve">（一）本部门2022年度总收入 </w:t>
      </w:r>
      <w:r>
        <w:rPr>
          <w:rFonts w:hint="eastAsia" w:ascii="仿宋" w:hAnsi="仿宋" w:eastAsia="仿宋" w:cs="仿宋"/>
          <w:color w:val="auto"/>
          <w:sz w:val="31"/>
          <w:szCs w:val="31"/>
        </w:rPr>
        <w:t>128.93</w:t>
      </w:r>
      <w:r>
        <w:rPr>
          <w:rFonts w:ascii="仿宋" w:hAnsi="仿宋" w:eastAsia="仿宋" w:cs="仿宋"/>
          <w:color w:val="auto"/>
          <w:sz w:val="31"/>
          <w:u w:color="auto"/>
        </w:rPr>
        <w:t>万元（其中本年收入  128.93万元），较2021年度决算数万元， 增加128.93万元，增长100%。收入具体情况如下</w:t>
      </w:r>
      <w:r>
        <w:rPr>
          <w:rFonts w:hint="eastAsia" w:ascii="仿宋" w:hAnsi="仿宋" w:eastAsia="仿宋" w:cs="仿宋"/>
          <w:color w:val="auto"/>
          <w:sz w:val="31"/>
          <w:szCs w:val="31"/>
          <w:shd w:val="clear" w:color="auto" w:fill="FFFFFF"/>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highlight w:val="none"/>
          <w:lang w:val="en-US"/>
        </w:rPr>
      </w:pPr>
      <w:r>
        <w:rPr>
          <w:rFonts w:hint="eastAsia" w:ascii="仿宋" w:hAnsi="仿宋" w:eastAsia="仿宋" w:cs="仿宋"/>
          <w:color w:val="auto"/>
          <w:sz w:val="31"/>
          <w:szCs w:val="31"/>
          <w:shd w:val="clear" w:color="auto" w:fill="FFFFFF"/>
        </w:rPr>
        <w:t xml:space="preserve">1.一般公共预算财政拨款收入 </w:t>
      </w:r>
      <w:r>
        <w:rPr>
          <w:rFonts w:hint="eastAsia" w:ascii="仿宋" w:hAnsi="仿宋" w:eastAsia="仿宋" w:cs="仿宋"/>
          <w:color w:val="auto"/>
          <w:sz w:val="31"/>
          <w:szCs w:val="31"/>
        </w:rPr>
        <w:t>128.93</w:t>
      </w:r>
      <w:r>
        <w:rPr>
          <w:rFonts w:ascii="仿宋" w:hAnsi="仿宋" w:eastAsia="仿宋" w:cs="仿宋"/>
          <w:color w:val="auto"/>
          <w:sz w:val="31"/>
          <w:u w:color="auto"/>
        </w:rPr>
        <w:t>万元，为百色本级财政当年拨付的资金。较2021年度决算数</w:t>
      </w:r>
      <w:r>
        <w:rPr>
          <w:rFonts w:hint="eastAsia" w:ascii="仿宋" w:hAnsi="仿宋" w:eastAsia="仿宋" w:cs="仿宋"/>
          <w:color w:val="auto"/>
          <w:sz w:val="31"/>
          <w:u w:color="auto"/>
          <w:lang w:val="en-US" w:eastAsia="zh-CN"/>
        </w:rPr>
        <w:t>0.00</w:t>
      </w:r>
      <w:r>
        <w:rPr>
          <w:rFonts w:ascii="仿宋" w:hAnsi="仿宋" w:eastAsia="仿宋" w:cs="仿宋"/>
          <w:color w:val="auto"/>
          <w:sz w:val="31"/>
          <w:u w:color="auto"/>
        </w:rPr>
        <w:t>万元，增加128.93万元，增长100%，</w:t>
      </w:r>
      <w:r>
        <w:rPr>
          <w:rFonts w:hint="eastAsia" w:ascii="仿宋" w:hAnsi="仿宋" w:eastAsia="仿宋" w:cs="仿宋"/>
          <w:color w:val="auto"/>
          <w:kern w:val="2"/>
          <w:sz w:val="31"/>
          <w:szCs w:val="31"/>
          <w:highlight w:val="none"/>
          <w:lang w:val="en-US" w:eastAsia="zh-CN" w:bidi="ar"/>
        </w:rPr>
        <w:t>主要原因：2021年主管部门中共百色市委员会百色市人民政府信访局局机关（以下简称局机关）和二层机构百色市群众工作服务中心没有分开独立核算，是汇总核算。2022年中心才开始独立核算，拨款收入用于人员经费和中心业务开展公用经费。</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highlight w:val="none"/>
          <w:lang w:val="en-US"/>
        </w:rPr>
      </w:pPr>
      <w:r>
        <w:rPr>
          <w:rFonts w:hint="eastAsia" w:ascii="仿宋" w:hAnsi="仿宋" w:eastAsia="仿宋" w:cs="仿宋"/>
          <w:color w:val="auto"/>
          <w:sz w:val="31"/>
          <w:szCs w:val="31"/>
          <w:shd w:val="clear" w:color="auto" w:fill="FFFFFF"/>
        </w:rPr>
        <w:t>2.</w:t>
      </w:r>
      <w:r>
        <w:rPr>
          <w:rFonts w:hint="eastAsia" w:ascii="仿宋" w:hAnsi="仿宋" w:eastAsia="仿宋" w:cs="仿宋"/>
          <w:color w:val="auto"/>
          <w:sz w:val="31"/>
          <w:szCs w:val="31"/>
        </w:rPr>
        <w:t xml:space="preserve">政府性基金预算财政拨款收入 </w:t>
      </w:r>
      <w:r>
        <w:rPr>
          <w:rFonts w:ascii="仿宋" w:hAnsi="仿宋" w:eastAsia="仿宋" w:cs="仿宋"/>
          <w:color w:val="auto"/>
          <w:sz w:val="31"/>
          <w:u w:color="auto"/>
        </w:rPr>
        <w:t>0.00万元，为百色本级财政当年拨付的资金。较2021年度决算数</w:t>
      </w:r>
      <w:r>
        <w:rPr>
          <w:rFonts w:hint="eastAsia" w:ascii="仿宋" w:hAnsi="仿宋" w:eastAsia="仿宋" w:cs="仿宋"/>
          <w:color w:val="auto"/>
          <w:sz w:val="31"/>
          <w:u w:color="auto"/>
          <w:lang w:val="en-US" w:eastAsia="zh-CN"/>
        </w:rPr>
        <w:t>0.00</w:t>
      </w:r>
      <w:r>
        <w:rPr>
          <w:rFonts w:ascii="仿宋" w:hAnsi="仿宋" w:eastAsia="仿宋" w:cs="仿宋"/>
          <w:color w:val="auto"/>
          <w:sz w:val="31"/>
          <w:u w:color="auto"/>
        </w:rPr>
        <w:t>万元，增加0.00万元，增长0%，</w:t>
      </w:r>
      <w:r>
        <w:rPr>
          <w:rFonts w:hint="eastAsia" w:ascii="仿宋" w:hAnsi="仿宋" w:eastAsia="仿宋" w:cs="仿宋"/>
          <w:color w:val="auto"/>
          <w:kern w:val="2"/>
          <w:sz w:val="31"/>
          <w:szCs w:val="31"/>
          <w:highlight w:val="none"/>
          <w:lang w:val="en-US" w:eastAsia="zh-CN" w:bidi="ar"/>
        </w:rPr>
        <w:t>主要原因：</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kern w:val="2"/>
          <w:sz w:val="31"/>
          <w:szCs w:val="31"/>
          <w:highlight w:val="none"/>
          <w:lang w:val="en-US" w:eastAsia="zh-CN" w:bidi="ar"/>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highlight w:val="none"/>
          <w:lang w:val="en-US"/>
        </w:rPr>
      </w:pPr>
      <w:r>
        <w:rPr>
          <w:rFonts w:hint="eastAsia" w:ascii="仿宋" w:hAnsi="仿宋" w:eastAsia="仿宋" w:cs="仿宋"/>
          <w:color w:val="auto"/>
          <w:sz w:val="31"/>
          <w:szCs w:val="31"/>
          <w:shd w:val="clear" w:color="auto" w:fill="FFFFFF"/>
        </w:rPr>
        <w:t>3.</w:t>
      </w:r>
      <w:r>
        <w:rPr>
          <w:rFonts w:hint="eastAsia" w:ascii="仿宋" w:hAnsi="仿宋" w:eastAsia="仿宋" w:cs="仿宋"/>
          <w:color w:val="auto"/>
          <w:sz w:val="31"/>
          <w:szCs w:val="31"/>
        </w:rPr>
        <w:t xml:space="preserve">国有资本经营预算财政拨款收入 </w:t>
      </w:r>
      <w:r>
        <w:rPr>
          <w:rFonts w:ascii="仿宋" w:hAnsi="仿宋" w:eastAsia="仿宋" w:cs="仿宋"/>
          <w:color w:val="auto"/>
          <w:sz w:val="31"/>
          <w:u w:color="auto"/>
        </w:rPr>
        <w:t>0.00万元，为百色本级财政当年拨付的资金。较2021年度决算数0.00万元，增加0.00 万元，增长0%，</w:t>
      </w:r>
      <w:r>
        <w:rPr>
          <w:rFonts w:hint="eastAsia" w:ascii="仿宋" w:hAnsi="仿宋" w:eastAsia="仿宋" w:cs="仿宋"/>
          <w:color w:val="auto"/>
          <w:kern w:val="2"/>
          <w:sz w:val="31"/>
          <w:szCs w:val="31"/>
          <w:highlight w:val="none"/>
          <w:lang w:val="en-US" w:eastAsia="zh-CN" w:bidi="ar"/>
        </w:rPr>
        <w:t>主要原因：</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kern w:val="2"/>
          <w:sz w:val="31"/>
          <w:szCs w:val="31"/>
          <w:highlight w:val="none"/>
          <w:lang w:val="en-US" w:eastAsia="zh-CN" w:bidi="ar"/>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rPr>
      </w:pPr>
      <w:r>
        <w:rPr>
          <w:rFonts w:hint="eastAsia" w:ascii="仿宋" w:hAnsi="仿宋" w:eastAsia="仿宋" w:cs="仿宋"/>
          <w:color w:val="auto"/>
          <w:sz w:val="31"/>
          <w:szCs w:val="31"/>
          <w:shd w:val="clear" w:color="auto" w:fill="FFFFFF"/>
        </w:rPr>
        <w:t>4.</w:t>
      </w:r>
      <w:r>
        <w:rPr>
          <w:rFonts w:hint="eastAsia" w:ascii="仿宋" w:hAnsi="仿宋" w:eastAsia="仿宋" w:cs="仿宋"/>
          <w:color w:val="auto"/>
          <w:sz w:val="31"/>
          <w:szCs w:val="31"/>
        </w:rPr>
        <w:t xml:space="preserve">上级补助收入 </w:t>
      </w:r>
      <w:r>
        <w:rPr>
          <w:rFonts w:ascii="仿宋" w:hAnsi="仿宋" w:eastAsia="仿宋" w:cs="仿宋"/>
          <w:color w:val="auto"/>
          <w:sz w:val="31"/>
          <w:u w:color="auto"/>
        </w:rPr>
        <w:t>0.00 万元，为上级部门当年拨付的资金。较2021年度决算数</w:t>
      </w:r>
      <w:r>
        <w:rPr>
          <w:rFonts w:hint="eastAsia" w:ascii="仿宋" w:hAnsi="仿宋" w:eastAsia="仿宋" w:cs="仿宋"/>
          <w:color w:val="auto"/>
          <w:sz w:val="31"/>
          <w:u w:color="auto"/>
          <w:lang w:val="en-US" w:eastAsia="zh-CN"/>
        </w:rPr>
        <w:t>0.00</w:t>
      </w:r>
      <w:r>
        <w:rPr>
          <w:rFonts w:ascii="仿宋" w:hAnsi="仿宋" w:eastAsia="仿宋" w:cs="仿宋"/>
          <w:color w:val="auto"/>
          <w:sz w:val="31"/>
          <w:u w:color="auto"/>
        </w:rPr>
        <w:t>万元，增加0.00 万元，增长0%，</w:t>
      </w:r>
      <w:r>
        <w:rPr>
          <w:rFonts w:hint="eastAsia" w:ascii="仿宋" w:hAnsi="仿宋" w:eastAsia="仿宋" w:cs="仿宋"/>
          <w:color w:val="auto"/>
          <w:kern w:val="2"/>
          <w:sz w:val="31"/>
          <w:szCs w:val="31"/>
          <w:highlight w:val="none"/>
          <w:lang w:val="en-US" w:eastAsia="zh-CN" w:bidi="ar"/>
        </w:rPr>
        <w:t>主要原因：</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kern w:val="2"/>
          <w:sz w:val="31"/>
          <w:szCs w:val="31"/>
          <w:highlight w:val="none"/>
          <w:lang w:val="en-US" w:eastAsia="zh-CN" w:bidi="ar"/>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highlight w:val="none"/>
          <w:lang w:val="en-US"/>
        </w:rPr>
      </w:pPr>
      <w:r>
        <w:rPr>
          <w:rFonts w:hint="eastAsia" w:ascii="仿宋" w:hAnsi="仿宋" w:eastAsia="仿宋" w:cs="仿宋"/>
          <w:color w:val="auto"/>
          <w:sz w:val="31"/>
          <w:szCs w:val="31"/>
          <w:shd w:val="clear" w:color="auto" w:fill="FFFFFF"/>
        </w:rPr>
        <w:t>5.</w:t>
      </w:r>
      <w:r>
        <w:rPr>
          <w:rFonts w:hint="eastAsia" w:ascii="仿宋" w:hAnsi="仿宋" w:eastAsia="仿宋" w:cs="仿宋"/>
          <w:color w:val="auto"/>
          <w:sz w:val="31"/>
          <w:szCs w:val="31"/>
        </w:rPr>
        <w:t>事业收入</w:t>
      </w:r>
      <w:r>
        <w:rPr>
          <w:rFonts w:ascii="仿宋" w:hAnsi="仿宋" w:eastAsia="仿宋" w:cs="仿宋"/>
          <w:color w:val="auto"/>
          <w:sz w:val="31"/>
          <w:u w:color="auto"/>
        </w:rPr>
        <w:t>0.00万元，为事业单位开展业务活动取得的收入。较2021年度决算数</w:t>
      </w:r>
      <w:r>
        <w:rPr>
          <w:rFonts w:hint="eastAsia" w:ascii="仿宋" w:hAnsi="仿宋" w:eastAsia="仿宋" w:cs="仿宋"/>
          <w:color w:val="auto"/>
          <w:sz w:val="31"/>
          <w:u w:color="auto"/>
          <w:lang w:val="en-US" w:eastAsia="zh-CN"/>
        </w:rPr>
        <w:t>0.00</w:t>
      </w:r>
      <w:r>
        <w:rPr>
          <w:rFonts w:ascii="仿宋" w:hAnsi="仿宋" w:eastAsia="仿宋" w:cs="仿宋"/>
          <w:color w:val="auto"/>
          <w:sz w:val="31"/>
          <w:u w:color="auto"/>
        </w:rPr>
        <w:t>万元，增加0.00 万元，增长0%，</w:t>
      </w:r>
      <w:r>
        <w:rPr>
          <w:rFonts w:hint="eastAsia" w:ascii="仿宋" w:hAnsi="仿宋" w:eastAsia="仿宋" w:cs="仿宋"/>
          <w:color w:val="auto"/>
          <w:kern w:val="2"/>
          <w:sz w:val="31"/>
          <w:szCs w:val="31"/>
          <w:highlight w:val="none"/>
          <w:lang w:val="en-US" w:eastAsia="zh-CN" w:bidi="ar"/>
        </w:rPr>
        <w:t>主要原因：</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kern w:val="2"/>
          <w:sz w:val="31"/>
          <w:szCs w:val="31"/>
          <w:highlight w:val="none"/>
          <w:lang w:val="en-US" w:eastAsia="zh-CN" w:bidi="ar"/>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highlight w:val="none"/>
          <w:lang w:val="en-US"/>
        </w:rPr>
      </w:pPr>
      <w:r>
        <w:rPr>
          <w:rFonts w:hint="eastAsia" w:ascii="仿宋" w:hAnsi="仿宋" w:eastAsia="仿宋" w:cs="仿宋"/>
          <w:color w:val="auto"/>
          <w:sz w:val="31"/>
          <w:szCs w:val="31"/>
          <w:shd w:val="clear" w:color="auto" w:fill="FFFFFF"/>
        </w:rPr>
        <w:t>6.</w:t>
      </w:r>
      <w:r>
        <w:rPr>
          <w:rFonts w:hint="eastAsia" w:ascii="仿宋" w:hAnsi="仿宋" w:eastAsia="仿宋" w:cs="仿宋"/>
          <w:color w:val="auto"/>
          <w:sz w:val="31"/>
          <w:szCs w:val="31"/>
        </w:rPr>
        <w:t>经营收入</w:t>
      </w:r>
      <w:r>
        <w:rPr>
          <w:rFonts w:ascii="仿宋" w:hAnsi="仿宋" w:eastAsia="仿宋" w:cs="仿宋"/>
          <w:color w:val="auto"/>
          <w:sz w:val="31"/>
          <w:u w:color="auto"/>
        </w:rPr>
        <w:t>0.00万，为事业单位在业务活动之外开展非独立核算经营活动取得的收入。较2021年度决算数</w:t>
      </w:r>
      <w:r>
        <w:rPr>
          <w:rFonts w:hint="eastAsia" w:ascii="仿宋" w:hAnsi="仿宋" w:eastAsia="仿宋" w:cs="仿宋"/>
          <w:color w:val="auto"/>
          <w:sz w:val="31"/>
          <w:u w:color="auto"/>
          <w:lang w:val="en-US" w:eastAsia="zh-CN"/>
        </w:rPr>
        <w:t>0.00</w:t>
      </w:r>
      <w:r>
        <w:rPr>
          <w:rFonts w:ascii="仿宋" w:hAnsi="仿宋" w:eastAsia="仿宋" w:cs="仿宋"/>
          <w:color w:val="auto"/>
          <w:sz w:val="31"/>
          <w:u w:color="auto"/>
        </w:rPr>
        <w:t>万元，增加0.00万元，增长0%，</w:t>
      </w:r>
      <w:r>
        <w:rPr>
          <w:rFonts w:hint="eastAsia" w:ascii="仿宋" w:hAnsi="仿宋" w:eastAsia="仿宋" w:cs="仿宋"/>
          <w:color w:val="auto"/>
          <w:kern w:val="2"/>
          <w:sz w:val="31"/>
          <w:szCs w:val="31"/>
          <w:highlight w:val="none"/>
          <w:lang w:val="en-US" w:eastAsia="zh-CN" w:bidi="ar"/>
        </w:rPr>
        <w:t>主要原因：</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kern w:val="2"/>
          <w:sz w:val="31"/>
          <w:szCs w:val="31"/>
          <w:highlight w:val="none"/>
          <w:lang w:val="en-US" w:eastAsia="zh-CN" w:bidi="ar"/>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highlight w:val="none"/>
          <w:lang w:val="en-US"/>
        </w:rPr>
      </w:pPr>
      <w:r>
        <w:rPr>
          <w:rFonts w:hint="eastAsia" w:ascii="仿宋" w:hAnsi="仿宋" w:eastAsia="仿宋" w:cs="仿宋"/>
          <w:color w:val="auto"/>
          <w:sz w:val="31"/>
          <w:szCs w:val="31"/>
          <w:shd w:val="clear" w:color="auto" w:fill="FFFFFF"/>
        </w:rPr>
        <w:t>7.</w:t>
      </w:r>
      <w:r>
        <w:rPr>
          <w:rFonts w:hint="eastAsia" w:ascii="仿宋" w:hAnsi="仿宋" w:eastAsia="仿宋" w:cs="仿宋"/>
          <w:color w:val="auto"/>
          <w:sz w:val="31"/>
          <w:szCs w:val="31"/>
        </w:rPr>
        <w:t>附属单位上缴收入</w:t>
      </w:r>
      <w:r>
        <w:rPr>
          <w:rFonts w:ascii="仿宋" w:hAnsi="仿宋" w:eastAsia="仿宋" w:cs="仿宋"/>
          <w:color w:val="auto"/>
          <w:sz w:val="31"/>
          <w:u w:color="auto"/>
        </w:rPr>
        <w:t>0.00万元。较2021年度决算数</w:t>
      </w:r>
      <w:r>
        <w:rPr>
          <w:rFonts w:hint="eastAsia" w:ascii="仿宋" w:hAnsi="仿宋" w:eastAsia="仿宋" w:cs="仿宋"/>
          <w:color w:val="auto"/>
          <w:sz w:val="31"/>
          <w:u w:color="auto"/>
          <w:lang w:val="en-US" w:eastAsia="zh-CN"/>
        </w:rPr>
        <w:t>0</w:t>
      </w:r>
      <w:r>
        <w:rPr>
          <w:rFonts w:ascii="仿宋" w:hAnsi="仿宋" w:eastAsia="仿宋" w:cs="仿宋"/>
          <w:color w:val="auto"/>
          <w:sz w:val="31"/>
          <w:u w:color="auto"/>
        </w:rPr>
        <w:t>万元，增加0.00 万元，增长0%，</w:t>
      </w:r>
      <w:r>
        <w:rPr>
          <w:rFonts w:hint="eastAsia" w:ascii="仿宋" w:hAnsi="仿宋" w:eastAsia="仿宋" w:cs="仿宋"/>
          <w:color w:val="auto"/>
          <w:kern w:val="2"/>
          <w:sz w:val="31"/>
          <w:szCs w:val="31"/>
          <w:highlight w:val="none"/>
          <w:lang w:val="en-US" w:eastAsia="zh-CN" w:bidi="ar"/>
        </w:rPr>
        <w:t>主要原因：</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kern w:val="2"/>
          <w:sz w:val="31"/>
          <w:szCs w:val="31"/>
          <w:highlight w:val="none"/>
          <w:lang w:val="en-US" w:eastAsia="zh-CN" w:bidi="ar"/>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highlight w:val="none"/>
          <w:lang w:val="en-US"/>
        </w:rPr>
      </w:pPr>
      <w:r>
        <w:rPr>
          <w:rFonts w:hint="eastAsia" w:ascii="仿宋" w:hAnsi="仿宋" w:eastAsia="仿宋" w:cs="仿宋"/>
          <w:color w:val="auto"/>
          <w:sz w:val="31"/>
          <w:szCs w:val="31"/>
          <w:shd w:val="clear" w:color="auto" w:fill="FFFFFF"/>
        </w:rPr>
        <w:t>8.</w:t>
      </w:r>
      <w:r>
        <w:rPr>
          <w:rFonts w:hint="eastAsia" w:ascii="仿宋" w:hAnsi="仿宋" w:eastAsia="仿宋" w:cs="仿宋"/>
          <w:color w:val="auto"/>
          <w:sz w:val="31"/>
          <w:szCs w:val="31"/>
        </w:rPr>
        <w:t>其他收入</w:t>
      </w:r>
      <w:r>
        <w:rPr>
          <w:rFonts w:ascii="仿宋" w:hAnsi="仿宋" w:eastAsia="仿宋" w:cs="仿宋"/>
          <w:color w:val="auto"/>
          <w:sz w:val="31"/>
          <w:u w:color="auto"/>
        </w:rPr>
        <w:t>0.00万元，为预算单位在“财政拨款收入”“事业收入”“经营收入”之外取得的收入。较2021年度决算数</w:t>
      </w:r>
      <w:r>
        <w:rPr>
          <w:rFonts w:hint="eastAsia" w:ascii="仿宋" w:hAnsi="仿宋" w:eastAsia="仿宋" w:cs="仿宋"/>
          <w:color w:val="auto"/>
          <w:sz w:val="31"/>
          <w:u w:color="auto"/>
          <w:lang w:val="en-US" w:eastAsia="zh-CN"/>
        </w:rPr>
        <w:t>0.00</w:t>
      </w:r>
      <w:r>
        <w:rPr>
          <w:rFonts w:ascii="仿宋" w:hAnsi="仿宋" w:eastAsia="仿宋" w:cs="仿宋"/>
          <w:color w:val="auto"/>
          <w:sz w:val="31"/>
          <w:u w:color="auto"/>
        </w:rPr>
        <w:t>万元，增加0.00万元，增长0%</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主要原因：</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kern w:val="2"/>
          <w:sz w:val="31"/>
          <w:szCs w:val="31"/>
          <w:highlight w:val="none"/>
          <w:lang w:val="en-US" w:eastAsia="zh-CN" w:bidi="ar"/>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rPr>
      </w:pPr>
      <w:r>
        <w:rPr>
          <w:rFonts w:hint="eastAsia" w:ascii="仿宋" w:hAnsi="仿宋" w:eastAsia="仿宋" w:cs="仿宋"/>
          <w:color w:val="auto"/>
          <w:sz w:val="31"/>
          <w:szCs w:val="31"/>
          <w:shd w:val="clear" w:color="auto" w:fill="FFFFFF"/>
        </w:rPr>
        <w:t>9.使用非财政拨款结余</w:t>
      </w:r>
      <w:r>
        <w:rPr>
          <w:rFonts w:hint="eastAsia" w:ascii="仿宋" w:hAnsi="仿宋" w:eastAsia="仿宋" w:cs="仿宋"/>
          <w:color w:val="auto"/>
          <w:sz w:val="31"/>
          <w:szCs w:val="31"/>
        </w:rPr>
        <w:t>0.00</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sz w:val="31"/>
          <w:szCs w:val="31"/>
          <w:shd w:val="clear" w:color="auto" w:fill="FFFFFF"/>
        </w:rPr>
        <w:t>较2021年度决算数</w:t>
      </w:r>
      <w:r>
        <w:rPr>
          <w:rFonts w:ascii="仿宋" w:hAnsi="仿宋" w:eastAsia="仿宋" w:cs="仿宋"/>
          <w:color w:val="auto"/>
          <w:sz w:val="31"/>
          <w:u w:color="auto"/>
        </w:rPr>
        <w:t>万元，增加0.00 万元，增长0%</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kern w:val="2"/>
          <w:sz w:val="31"/>
          <w:szCs w:val="31"/>
          <w:highlight w:val="none"/>
          <w:lang w:val="en-US" w:eastAsia="zh-CN" w:bidi="ar"/>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highlight w:val="none"/>
          <w:lang w:val="en-US"/>
        </w:rPr>
      </w:pPr>
      <w:r>
        <w:rPr>
          <w:rFonts w:hint="eastAsia" w:ascii="仿宋" w:hAnsi="仿宋" w:eastAsia="仿宋" w:cs="仿宋"/>
          <w:color w:val="auto"/>
          <w:sz w:val="31"/>
          <w:szCs w:val="31"/>
          <w:shd w:val="clear" w:color="auto" w:fill="FFFFFF"/>
        </w:rPr>
        <w:t>10.年初结转和结余</w:t>
      </w:r>
      <w:r>
        <w:rPr>
          <w:rFonts w:hint="eastAsia" w:ascii="仿宋" w:hAnsi="仿宋" w:eastAsia="仿宋" w:cs="仿宋"/>
          <w:color w:val="auto"/>
          <w:sz w:val="31"/>
          <w:szCs w:val="31"/>
        </w:rPr>
        <w:t>0.00</w:t>
      </w:r>
      <w:r>
        <w:rPr>
          <w:rFonts w:hint="eastAsia" w:ascii="仿宋" w:hAnsi="仿宋" w:eastAsia="仿宋" w:cs="仿宋"/>
          <w:color w:val="auto"/>
          <w:sz w:val="31"/>
          <w:szCs w:val="31"/>
          <w:shd w:val="clear" w:color="auto" w:fill="FFFFFF"/>
        </w:rPr>
        <w:t>万元，为以前年度支出预算因客观条件变化未执行完毕、结转到本年度按有关规定继续使用的资金。较2021年度决算数万元</w:t>
      </w:r>
      <w:r>
        <w:rPr>
          <w:rFonts w:hint="eastAsia" w:ascii="仿宋" w:hAnsi="仿宋" w:eastAsia="仿宋" w:cs="仿宋"/>
          <w:color w:val="auto"/>
          <w:sz w:val="31"/>
          <w:szCs w:val="31"/>
        </w:rPr>
        <w:t>增加0.00</w:t>
      </w:r>
      <w:r>
        <w:rPr>
          <w:rFonts w:hint="eastAsia" w:ascii="仿宋" w:hAnsi="仿宋" w:eastAsia="仿宋" w:cs="仿宋"/>
          <w:color w:val="auto"/>
          <w:sz w:val="31"/>
          <w:szCs w:val="31"/>
          <w:shd w:val="clear" w:color="auto" w:fill="FFFFFF"/>
        </w:rPr>
        <w:t>万元，</w:t>
      </w:r>
      <w:r>
        <w:rPr>
          <w:rFonts w:ascii="仿宋" w:hAnsi="仿宋" w:eastAsia="仿宋" w:cs="仿宋"/>
          <w:color w:val="auto"/>
          <w:sz w:val="31"/>
          <w:u w:color="auto"/>
        </w:rPr>
        <w:t>增长0%，</w:t>
      </w:r>
      <w:r>
        <w:rPr>
          <w:rFonts w:hint="eastAsia" w:ascii="仿宋" w:hAnsi="仿宋" w:eastAsia="仿宋" w:cs="仿宋"/>
          <w:color w:val="auto"/>
          <w:kern w:val="2"/>
          <w:sz w:val="31"/>
          <w:szCs w:val="31"/>
          <w:highlight w:val="none"/>
          <w:lang w:val="en-US" w:eastAsia="zh-CN" w:bidi="ar"/>
        </w:rPr>
        <w:t>主要原因：</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kern w:val="2"/>
          <w:sz w:val="31"/>
          <w:szCs w:val="31"/>
          <w:highlight w:val="none"/>
          <w:lang w:val="en-US" w:eastAsia="zh-CN" w:bidi="ar"/>
        </w:rPr>
        <w:t>。</w:t>
      </w:r>
    </w:p>
    <w:p>
      <w:pPr>
        <w:pStyle w:val="6"/>
        <w:widowControl/>
        <w:spacing w:before="450" w:beforeAutospacing="0" w:after="450" w:afterAutospacing="0" w:line="420" w:lineRule="atLeast"/>
        <w:ind w:firstLine="630"/>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（二）本部门2022年度总支出</w:t>
      </w:r>
      <w:r>
        <w:rPr>
          <w:rFonts w:hint="eastAsia" w:ascii="仿宋" w:hAnsi="仿宋" w:eastAsia="仿宋" w:cs="仿宋"/>
          <w:color w:val="auto"/>
          <w:sz w:val="31"/>
          <w:szCs w:val="31"/>
        </w:rPr>
        <w:t>128.93</w:t>
      </w:r>
      <w:r>
        <w:rPr>
          <w:rFonts w:hint="eastAsia" w:ascii="仿宋" w:hAnsi="仿宋" w:eastAsia="仿宋" w:cs="仿宋"/>
          <w:color w:val="auto"/>
          <w:sz w:val="31"/>
          <w:szCs w:val="31"/>
          <w:shd w:val="clear" w:color="auto" w:fill="FFFFFF"/>
        </w:rPr>
        <w:t>万元（其中本年支出</w:t>
      </w:r>
      <w:r>
        <w:rPr>
          <w:rFonts w:hint="eastAsia" w:ascii="仿宋" w:hAnsi="仿宋" w:eastAsia="仿宋" w:cs="仿宋"/>
          <w:color w:val="auto"/>
          <w:sz w:val="31"/>
          <w:szCs w:val="31"/>
        </w:rPr>
        <w:t>128.93</w:t>
      </w:r>
      <w:r>
        <w:rPr>
          <w:rFonts w:hint="eastAsia" w:ascii="仿宋" w:hAnsi="仿宋" w:eastAsia="仿宋" w:cs="仿宋"/>
          <w:color w:val="auto"/>
          <w:sz w:val="31"/>
          <w:szCs w:val="31"/>
          <w:shd w:val="clear" w:color="auto" w:fill="FFFFFF"/>
        </w:rPr>
        <w:t>万元），较2021年度决算数万元</w:t>
      </w:r>
      <w:r>
        <w:rPr>
          <w:rFonts w:hint="eastAsia" w:ascii="仿宋" w:hAnsi="仿宋" w:eastAsia="仿宋" w:cs="仿宋"/>
          <w:color w:val="auto"/>
          <w:sz w:val="31"/>
          <w:szCs w:val="31"/>
        </w:rPr>
        <w:t>增加128.93</w:t>
      </w:r>
      <w:r>
        <w:rPr>
          <w:rFonts w:hint="eastAsia" w:ascii="仿宋" w:hAnsi="仿宋" w:eastAsia="仿宋" w:cs="仿宋"/>
          <w:color w:val="auto"/>
          <w:sz w:val="31"/>
          <w:szCs w:val="31"/>
          <w:lang w:val="en-US" w:eastAsia="zh-CN"/>
        </w:rPr>
        <w:t>万元</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rPr>
        <w:t>增长100%</w:t>
      </w:r>
      <w:r>
        <w:rPr>
          <w:rFonts w:hint="eastAsia" w:ascii="仿宋" w:hAnsi="仿宋" w:eastAsia="仿宋" w:cs="仿宋"/>
          <w:color w:val="auto"/>
          <w:sz w:val="31"/>
          <w:szCs w:val="31"/>
          <w:shd w:val="clear" w:color="auto" w:fill="FFFFFF"/>
        </w:rPr>
        <w:t>。支出具体情况如下：</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rPr>
        <w:t>1</w:t>
      </w:r>
      <w:r>
        <w:rPr>
          <w:rFonts w:ascii="仿宋" w:hAnsi="仿宋" w:eastAsia="仿宋" w:cs="仿宋"/>
          <w:color w:val="auto"/>
          <w:sz w:val="31"/>
          <w:u w:color="auto"/>
        </w:rPr>
        <w:t>.</w:t>
      </w:r>
      <w:r>
        <w:rPr>
          <w:rFonts w:hint="eastAsia" w:ascii="仿宋" w:hAnsi="仿宋" w:eastAsia="仿宋" w:cs="仿宋"/>
          <w:color w:val="auto"/>
          <w:sz w:val="31"/>
          <w:szCs w:val="31"/>
          <w:lang w:bidi="ar"/>
        </w:rPr>
        <w:t>一般公共服务支出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lang w:bidi="ar"/>
        </w:rPr>
        <w:t>100.64</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highlight w:val="none"/>
        </w:rPr>
        <w:t>主要用于</w:t>
      </w:r>
      <w:r>
        <w:rPr>
          <w:rFonts w:hint="eastAsia" w:ascii="仿宋" w:hAnsi="仿宋" w:eastAsia="仿宋" w:cs="仿宋"/>
          <w:color w:val="auto"/>
          <w:sz w:val="31"/>
          <w:szCs w:val="31"/>
          <w:highlight w:val="none"/>
          <w:lang w:eastAsia="zh-CN"/>
        </w:rPr>
        <w:t>：</w:t>
      </w:r>
      <w:r>
        <w:rPr>
          <w:rFonts w:hint="eastAsia" w:ascii="仿宋" w:hAnsi="仿宋" w:eastAsia="仿宋" w:cs="仿宋"/>
          <w:color w:val="auto"/>
          <w:sz w:val="31"/>
          <w:szCs w:val="31"/>
          <w:highlight w:val="none"/>
          <w:lang w:eastAsia="zh-CN"/>
        </w:rPr>
        <w:t>为保证日常运转发生的基本支出和为完成各项信访工作任务、保障信访事业发展而发生的项目支出</w:t>
      </w:r>
      <w:r>
        <w:rPr>
          <w:rFonts w:hint="eastAsia" w:ascii="仿宋" w:hAnsi="仿宋" w:eastAsia="仿宋" w:cs="仿宋"/>
          <w:color w:val="auto"/>
          <w:sz w:val="31"/>
          <w:szCs w:val="31"/>
          <w:shd w:val="clear" w:color="auto" w:fill="FFFFFF"/>
        </w:rPr>
        <w:t>，较2021年决算</w:t>
      </w:r>
      <w:r>
        <w:rPr>
          <w:rFonts w:hint="eastAsia" w:ascii="仿宋" w:hAnsi="仿宋" w:eastAsia="仿宋" w:cs="仿宋"/>
          <w:color w:val="auto"/>
          <w:sz w:val="31"/>
          <w:szCs w:val="31"/>
          <w:shd w:val="clear" w:color="auto" w:fill="FFFFFF"/>
          <w:lang w:val="en-US" w:eastAsia="zh-CN"/>
        </w:rPr>
        <w:t>0.00</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增加100.64</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增长100%</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主要原因是：</w:t>
      </w:r>
      <w:r>
        <w:rPr>
          <w:rFonts w:hint="eastAsia" w:ascii="仿宋" w:hAnsi="仿宋" w:eastAsia="仿宋" w:cs="仿宋"/>
          <w:color w:val="auto"/>
          <w:sz w:val="31"/>
          <w:szCs w:val="31"/>
          <w:highlight w:val="none"/>
          <w:lang w:val="en-US" w:eastAsia="zh-CN"/>
        </w:rPr>
        <w:t>2021年局机关和中心没有分开独立核算，是汇总核算故决算为零，2022年独立核算金额增加。</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rPr>
        <w:t>2</w:t>
      </w:r>
      <w:r>
        <w:rPr>
          <w:rFonts w:ascii="仿宋" w:hAnsi="仿宋" w:eastAsia="仿宋" w:cs="仿宋"/>
          <w:color w:val="auto"/>
          <w:sz w:val="31"/>
          <w:u w:color="auto"/>
        </w:rPr>
        <w:t>.</w:t>
      </w:r>
      <w:r>
        <w:rPr>
          <w:rFonts w:hint="eastAsia" w:ascii="仿宋" w:hAnsi="仿宋" w:eastAsia="仿宋" w:cs="仿宋"/>
          <w:color w:val="auto"/>
          <w:sz w:val="31"/>
          <w:szCs w:val="31"/>
          <w:lang w:bidi="ar"/>
        </w:rPr>
        <w:t>社会保障和就业支出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lang w:bidi="ar"/>
        </w:rPr>
        <w:t>13.93</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highlight w:val="none"/>
        </w:rPr>
        <w:t>主要用于</w:t>
      </w:r>
      <w:r>
        <w:rPr>
          <w:rFonts w:hint="eastAsia" w:ascii="仿宋" w:hAnsi="仿宋" w:eastAsia="仿宋" w:cs="仿宋"/>
          <w:color w:val="auto"/>
          <w:sz w:val="31"/>
          <w:szCs w:val="31"/>
          <w:highlight w:val="none"/>
          <w:lang w:eastAsia="zh-CN"/>
        </w:rPr>
        <w:t>：</w:t>
      </w:r>
      <w:r>
        <w:rPr>
          <w:rFonts w:hint="eastAsia" w:ascii="仿宋" w:hAnsi="仿宋" w:eastAsia="仿宋" w:cs="仿宋"/>
          <w:color w:val="auto"/>
          <w:sz w:val="31"/>
          <w:szCs w:val="31"/>
          <w:highlight w:val="none"/>
          <w:lang w:eastAsia="zh-CN"/>
        </w:rPr>
        <w:t>按国家规定发放的</w:t>
      </w:r>
      <w:r>
        <w:rPr>
          <w:rFonts w:hint="eastAsia" w:ascii="仿宋" w:hAnsi="仿宋" w:eastAsia="仿宋" w:cs="仿宋"/>
          <w:color w:val="auto"/>
          <w:sz w:val="31"/>
          <w:szCs w:val="31"/>
          <w:highlight w:val="none"/>
          <w:lang w:val="en-US" w:eastAsia="zh-CN"/>
        </w:rPr>
        <w:t>在职人员</w:t>
      </w:r>
      <w:r>
        <w:rPr>
          <w:rFonts w:hint="eastAsia" w:ascii="仿宋" w:hAnsi="仿宋" w:eastAsia="仿宋" w:cs="仿宋"/>
          <w:color w:val="auto"/>
          <w:sz w:val="31"/>
          <w:szCs w:val="31"/>
          <w:highlight w:val="none"/>
          <w:lang w:eastAsia="zh-CN"/>
        </w:rPr>
        <w:t>基本养老保险、职业年金缴费</w:t>
      </w:r>
      <w:r>
        <w:rPr>
          <w:rFonts w:hint="eastAsia" w:ascii="仿宋" w:hAnsi="仿宋" w:eastAsia="仿宋" w:cs="仿宋"/>
          <w:color w:val="auto"/>
          <w:sz w:val="31"/>
          <w:szCs w:val="31"/>
          <w:shd w:val="clear" w:color="auto" w:fill="FFFFFF"/>
        </w:rPr>
        <w:t>，较2021年决算</w:t>
      </w:r>
      <w:r>
        <w:rPr>
          <w:rFonts w:hint="eastAsia" w:ascii="仿宋" w:hAnsi="仿宋" w:eastAsia="仿宋" w:cs="仿宋"/>
          <w:color w:val="auto"/>
          <w:sz w:val="31"/>
          <w:szCs w:val="31"/>
          <w:shd w:val="clear" w:color="auto" w:fill="FFFFFF"/>
          <w:lang w:val="en-US" w:eastAsia="zh-CN"/>
        </w:rPr>
        <w:t>0.00</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增加13.93</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增长100%</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主要原因是：</w:t>
      </w:r>
      <w:r>
        <w:rPr>
          <w:rFonts w:hint="eastAsia" w:ascii="仿宋" w:hAnsi="仿宋" w:eastAsia="仿宋" w:cs="仿宋"/>
          <w:color w:val="auto"/>
          <w:sz w:val="31"/>
          <w:szCs w:val="31"/>
          <w:highlight w:val="none"/>
          <w:lang w:val="en-US" w:eastAsia="zh-CN"/>
        </w:rPr>
        <w:t>2021年局机关和中心没有分开独立核算，是汇总核算，故决算为零，2022年</w:t>
      </w:r>
      <w:r>
        <w:rPr>
          <w:rFonts w:hint="eastAsia" w:ascii="仿宋" w:hAnsi="仿宋" w:eastAsia="仿宋" w:cs="仿宋"/>
          <w:color w:val="auto"/>
          <w:kern w:val="2"/>
          <w:sz w:val="31"/>
          <w:szCs w:val="31"/>
          <w:highlight w:val="none"/>
          <w:lang w:val="en-US" w:eastAsia="zh-CN" w:bidi="ar"/>
        </w:rPr>
        <w:t>随工资基数调整，而按比例相应增加人员各项社会保险缴费。</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rPr>
        <w:t>3</w:t>
      </w:r>
      <w:r>
        <w:rPr>
          <w:rFonts w:ascii="仿宋" w:hAnsi="仿宋" w:eastAsia="仿宋" w:cs="仿宋"/>
          <w:color w:val="auto"/>
          <w:sz w:val="31"/>
          <w:u w:color="auto"/>
        </w:rPr>
        <w:t>.</w:t>
      </w:r>
      <w:r>
        <w:rPr>
          <w:rFonts w:hint="eastAsia" w:ascii="仿宋" w:hAnsi="仿宋" w:eastAsia="仿宋" w:cs="仿宋"/>
          <w:color w:val="auto"/>
          <w:sz w:val="31"/>
          <w:szCs w:val="31"/>
          <w:lang w:bidi="ar"/>
        </w:rPr>
        <w:t>卫生健康支出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lang w:bidi="ar"/>
        </w:rPr>
        <w:t>3.91</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highlight w:val="none"/>
        </w:rPr>
        <w:t>主要用于</w:t>
      </w:r>
      <w:r>
        <w:rPr>
          <w:rFonts w:hint="eastAsia" w:ascii="仿宋" w:hAnsi="仿宋" w:eastAsia="仿宋" w:cs="仿宋"/>
          <w:color w:val="auto"/>
          <w:sz w:val="31"/>
          <w:szCs w:val="31"/>
          <w:highlight w:val="none"/>
          <w:lang w:eastAsia="zh-CN"/>
        </w:rPr>
        <w:t>：</w:t>
      </w:r>
      <w:r>
        <w:rPr>
          <w:rFonts w:hint="eastAsia" w:ascii="仿宋" w:hAnsi="仿宋" w:eastAsia="仿宋" w:cs="仿宋"/>
          <w:color w:val="auto"/>
          <w:sz w:val="31"/>
          <w:szCs w:val="31"/>
          <w:highlight w:val="none"/>
          <w:lang w:eastAsia="zh-CN"/>
        </w:rPr>
        <w:t>按国家规定发放的</w:t>
      </w:r>
      <w:r>
        <w:rPr>
          <w:rFonts w:hint="eastAsia" w:ascii="仿宋" w:hAnsi="仿宋" w:eastAsia="仿宋" w:cs="仿宋"/>
          <w:color w:val="auto"/>
          <w:sz w:val="31"/>
          <w:szCs w:val="31"/>
          <w:highlight w:val="none"/>
          <w:lang w:val="en-US" w:eastAsia="zh-CN"/>
        </w:rPr>
        <w:t>在职人员</w:t>
      </w:r>
      <w:r>
        <w:rPr>
          <w:rFonts w:hint="eastAsia" w:ascii="仿宋" w:hAnsi="仿宋" w:eastAsia="仿宋" w:cs="仿宋"/>
          <w:color w:val="auto"/>
          <w:sz w:val="31"/>
          <w:szCs w:val="31"/>
          <w:highlight w:val="none"/>
          <w:lang w:eastAsia="zh-CN"/>
        </w:rPr>
        <w:t>基本</w:t>
      </w:r>
      <w:r>
        <w:rPr>
          <w:rFonts w:hint="eastAsia" w:ascii="仿宋" w:hAnsi="仿宋" w:eastAsia="仿宋" w:cs="仿宋"/>
          <w:color w:val="auto"/>
          <w:sz w:val="31"/>
          <w:szCs w:val="31"/>
          <w:highlight w:val="none"/>
          <w:lang w:val="en-US" w:eastAsia="zh-CN"/>
        </w:rPr>
        <w:t>医疗</w:t>
      </w:r>
      <w:r>
        <w:rPr>
          <w:rFonts w:hint="eastAsia" w:ascii="仿宋" w:hAnsi="仿宋" w:eastAsia="仿宋" w:cs="仿宋"/>
          <w:color w:val="auto"/>
          <w:sz w:val="31"/>
          <w:szCs w:val="31"/>
          <w:highlight w:val="none"/>
          <w:lang w:eastAsia="zh-CN"/>
        </w:rPr>
        <w:t>保险（</w:t>
      </w:r>
      <w:r>
        <w:rPr>
          <w:rFonts w:hint="eastAsia" w:ascii="仿宋" w:hAnsi="仿宋" w:eastAsia="仿宋" w:cs="仿宋"/>
          <w:color w:val="auto"/>
          <w:sz w:val="31"/>
          <w:szCs w:val="31"/>
          <w:highlight w:val="none"/>
          <w:lang w:val="en-US" w:eastAsia="zh-CN"/>
        </w:rPr>
        <w:t>含生育保险</w:t>
      </w:r>
      <w:r>
        <w:rPr>
          <w:rFonts w:hint="eastAsia" w:ascii="仿宋" w:hAnsi="仿宋" w:eastAsia="仿宋" w:cs="仿宋"/>
          <w:color w:val="auto"/>
          <w:sz w:val="31"/>
          <w:szCs w:val="31"/>
          <w:highlight w:val="none"/>
          <w:lang w:eastAsia="zh-CN"/>
        </w:rPr>
        <w:t>）、</w:t>
      </w:r>
      <w:r>
        <w:rPr>
          <w:rFonts w:hint="eastAsia" w:ascii="仿宋" w:hAnsi="仿宋" w:eastAsia="仿宋" w:cs="仿宋"/>
          <w:color w:val="auto"/>
          <w:sz w:val="31"/>
          <w:szCs w:val="31"/>
          <w:highlight w:val="none"/>
          <w:lang w:val="en-US" w:eastAsia="zh-CN"/>
        </w:rPr>
        <w:t>工伤保险</w:t>
      </w:r>
      <w:r>
        <w:rPr>
          <w:rFonts w:hint="eastAsia" w:ascii="仿宋" w:hAnsi="仿宋" w:eastAsia="仿宋" w:cs="仿宋"/>
          <w:color w:val="auto"/>
          <w:sz w:val="31"/>
          <w:szCs w:val="31"/>
          <w:shd w:val="clear" w:color="auto" w:fill="FFFFFF"/>
        </w:rPr>
        <w:t>，较2021年决算</w:t>
      </w:r>
      <w:r>
        <w:rPr>
          <w:rFonts w:hint="eastAsia" w:ascii="仿宋" w:hAnsi="仿宋" w:eastAsia="仿宋" w:cs="仿宋"/>
          <w:color w:val="auto"/>
          <w:sz w:val="31"/>
          <w:szCs w:val="31"/>
          <w:shd w:val="clear" w:color="auto" w:fill="FFFFFF"/>
          <w:lang w:val="en-US" w:eastAsia="zh-CN"/>
        </w:rPr>
        <w:t>0.00</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增加3.91</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增长100%</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主要原因是：</w:t>
      </w:r>
      <w:r>
        <w:rPr>
          <w:rFonts w:hint="eastAsia" w:ascii="仿宋" w:hAnsi="仿宋" w:eastAsia="仿宋" w:cs="仿宋"/>
          <w:color w:val="auto"/>
          <w:sz w:val="31"/>
          <w:szCs w:val="31"/>
          <w:highlight w:val="none"/>
          <w:lang w:val="en-US" w:eastAsia="zh-CN"/>
        </w:rPr>
        <w:t>2021年局机关和中心没有分开独立核算，是汇总核算，故决算为零，2022年</w:t>
      </w:r>
      <w:r>
        <w:rPr>
          <w:rFonts w:hint="eastAsia" w:ascii="仿宋" w:hAnsi="仿宋" w:eastAsia="仿宋" w:cs="仿宋"/>
          <w:color w:val="auto"/>
          <w:kern w:val="2"/>
          <w:sz w:val="31"/>
          <w:szCs w:val="31"/>
          <w:highlight w:val="none"/>
          <w:lang w:val="en-US" w:eastAsia="zh-CN" w:bidi="ar"/>
        </w:rPr>
        <w:t>随工资基数调整，而按比例相应增加各项医疗保障缴费。</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highlight w:val="none"/>
          <w:lang w:val="en-US" w:eastAsia="zh-CN"/>
        </w:rPr>
      </w:pPr>
      <w:r>
        <w:rPr>
          <w:rFonts w:hint="eastAsia" w:ascii="仿宋" w:hAnsi="仿宋" w:eastAsia="仿宋" w:cs="仿宋"/>
          <w:color w:val="auto"/>
          <w:sz w:val="31"/>
          <w:szCs w:val="31"/>
        </w:rPr>
        <w:t>4</w:t>
      </w:r>
      <w:r>
        <w:rPr>
          <w:rFonts w:ascii="仿宋" w:hAnsi="仿宋" w:eastAsia="仿宋" w:cs="仿宋"/>
          <w:color w:val="auto"/>
          <w:sz w:val="31"/>
          <w:u w:color="auto"/>
        </w:rPr>
        <w:t>.</w:t>
      </w:r>
      <w:r>
        <w:rPr>
          <w:rFonts w:hint="eastAsia" w:ascii="仿宋" w:hAnsi="仿宋" w:eastAsia="仿宋" w:cs="仿宋"/>
          <w:color w:val="auto"/>
          <w:sz w:val="31"/>
          <w:szCs w:val="31"/>
          <w:lang w:bidi="ar"/>
        </w:rPr>
        <w:t>住房保障支出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lang w:bidi="ar"/>
        </w:rPr>
        <w:t>10.45</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highlight w:val="none"/>
        </w:rPr>
        <w:t>主要用于</w:t>
      </w:r>
      <w:r>
        <w:rPr>
          <w:rFonts w:hint="eastAsia" w:ascii="仿宋" w:hAnsi="仿宋" w:eastAsia="仿宋" w:cs="仿宋"/>
          <w:color w:val="auto"/>
          <w:sz w:val="31"/>
          <w:szCs w:val="31"/>
          <w:highlight w:val="none"/>
          <w:lang w:eastAsia="zh-CN"/>
        </w:rPr>
        <w:t>：</w:t>
      </w:r>
      <w:r>
        <w:rPr>
          <w:rFonts w:hint="eastAsia" w:ascii="仿宋" w:hAnsi="仿宋" w:eastAsia="仿宋" w:cs="仿宋"/>
          <w:color w:val="auto"/>
          <w:sz w:val="31"/>
          <w:szCs w:val="31"/>
          <w:highlight w:val="none"/>
          <w:lang w:val="en-US" w:eastAsia="zh-CN"/>
        </w:rPr>
        <w:t>在职人员按照国家政策规定为职工缴存的住房公积金支出</w:t>
      </w:r>
      <w:r>
        <w:rPr>
          <w:rFonts w:hint="eastAsia" w:ascii="仿宋" w:hAnsi="仿宋" w:eastAsia="仿宋" w:cs="仿宋"/>
          <w:color w:val="auto"/>
          <w:sz w:val="31"/>
          <w:szCs w:val="31"/>
          <w:shd w:val="clear" w:color="auto" w:fill="FFFFFF"/>
        </w:rPr>
        <w:t>，较2021年决算</w:t>
      </w:r>
      <w:r>
        <w:rPr>
          <w:rFonts w:hint="eastAsia" w:ascii="仿宋" w:hAnsi="仿宋" w:eastAsia="仿宋" w:cs="仿宋"/>
          <w:color w:val="auto"/>
          <w:sz w:val="31"/>
          <w:szCs w:val="31"/>
          <w:shd w:val="clear" w:color="auto" w:fill="FFFFFF"/>
          <w:lang w:val="en-US" w:eastAsia="zh-CN"/>
        </w:rPr>
        <w:t>0.00</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增加10.45</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lang w:bidi="ar"/>
        </w:rPr>
        <w:t>增长100%</w:t>
      </w:r>
      <w:r>
        <w:rPr>
          <w:rFonts w:hint="eastAsia" w:ascii="仿宋" w:hAnsi="仿宋" w:eastAsia="仿宋" w:cs="仿宋"/>
          <w:color w:val="auto"/>
          <w:sz w:val="31"/>
          <w:szCs w:val="31"/>
          <w:shd w:val="clear" w:color="auto" w:fill="FFFFFF"/>
        </w:rPr>
        <w:t>，</w:t>
      </w:r>
      <w:r>
        <w:rPr>
          <w:rFonts w:hint="eastAsia" w:ascii="仿宋" w:hAnsi="仿宋" w:eastAsia="仿宋" w:cs="仿宋"/>
          <w:color w:val="auto"/>
          <w:kern w:val="2"/>
          <w:sz w:val="31"/>
          <w:szCs w:val="31"/>
          <w:highlight w:val="none"/>
          <w:lang w:val="en-US" w:eastAsia="zh-CN" w:bidi="ar"/>
        </w:rPr>
        <w:t>主要原因是：</w:t>
      </w:r>
      <w:r>
        <w:rPr>
          <w:rFonts w:hint="eastAsia" w:ascii="仿宋" w:hAnsi="仿宋" w:eastAsia="仿宋" w:cs="仿宋"/>
          <w:color w:val="auto"/>
          <w:sz w:val="31"/>
          <w:szCs w:val="31"/>
          <w:highlight w:val="none"/>
          <w:lang w:val="en-US" w:eastAsia="zh-CN"/>
        </w:rPr>
        <w:t>2021年局机关和中心没有分开独立核算，是汇总核算，故决算为零，2022年</w:t>
      </w:r>
      <w:r>
        <w:rPr>
          <w:rFonts w:hint="eastAsia" w:ascii="仿宋" w:hAnsi="仿宋" w:eastAsia="仿宋" w:cs="仿宋"/>
          <w:color w:val="auto"/>
          <w:kern w:val="2"/>
          <w:sz w:val="31"/>
          <w:szCs w:val="31"/>
          <w:highlight w:val="none"/>
          <w:lang w:val="en-US" w:eastAsia="zh-CN" w:bidi="ar"/>
        </w:rPr>
        <w:t>随工资福利支出增加而按比例相应增加的住房公积金缴存。</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结余分配</w:t>
      </w:r>
      <w:r>
        <w:rPr>
          <w:rFonts w:ascii="仿宋" w:hAnsi="仿宋" w:eastAsia="仿宋" w:cs="仿宋"/>
          <w:color w:val="auto"/>
          <w:sz w:val="31"/>
          <w:u w:color="auto"/>
        </w:rPr>
        <w:t>0.00万元，为事业单位按规定提取的专用结余、缴纳所得税和转入非财政拨款结余等。较2021年决算万元增加0.00 万元，增长0%，</w:t>
      </w:r>
      <w:r>
        <w:rPr>
          <w:rFonts w:hint="eastAsia" w:ascii="仿宋" w:hAnsi="仿宋" w:eastAsia="仿宋" w:cs="仿宋"/>
          <w:color w:val="auto"/>
          <w:kern w:val="2"/>
          <w:sz w:val="31"/>
          <w:szCs w:val="31"/>
          <w:highlight w:val="none"/>
          <w:lang w:val="en-US" w:eastAsia="zh-CN" w:bidi="ar"/>
        </w:rPr>
        <w:t>主要原因是：</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kern w:val="2"/>
          <w:sz w:val="31"/>
          <w:szCs w:val="31"/>
          <w:highlight w:val="none"/>
          <w:lang w:val="en-US" w:eastAsia="zh-CN" w:bidi="ar"/>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年末结转和结余</w:t>
      </w:r>
      <w:r>
        <w:rPr>
          <w:rFonts w:ascii="仿宋" w:hAnsi="仿宋" w:eastAsia="仿宋" w:cs="仿宋"/>
          <w:color w:val="auto"/>
          <w:sz w:val="31"/>
          <w:u w:color="auto"/>
        </w:rPr>
        <w:t>0.00万元，为本年度或以前年度预算安排、因客观条件发生变化无法按原计划实施，需要延迟到以后年度按有关规定继续使用的资金。较2021年决算万元增加0.00 万元，增长0%，</w:t>
      </w:r>
      <w:r>
        <w:rPr>
          <w:rFonts w:hint="eastAsia" w:ascii="仿宋" w:hAnsi="仿宋" w:eastAsia="仿宋" w:cs="仿宋"/>
          <w:color w:val="auto"/>
          <w:kern w:val="2"/>
          <w:sz w:val="31"/>
          <w:szCs w:val="31"/>
          <w:highlight w:val="none"/>
          <w:lang w:val="en-US" w:eastAsia="zh-CN" w:bidi="ar"/>
        </w:rPr>
        <w:t>主要原因是：</w:t>
      </w:r>
      <w:r>
        <w:rPr>
          <w:rFonts w:hint="eastAsia" w:ascii="仿宋" w:hAnsi="仿宋" w:eastAsia="仿宋" w:cs="仿宋"/>
          <w:color w:val="auto"/>
          <w:kern w:val="2"/>
          <w:sz w:val="31"/>
          <w:szCs w:val="31"/>
          <w:highlight w:val="none"/>
          <w:lang w:val="en-US" w:eastAsia="zh-CN" w:bidi="ar"/>
        </w:rPr>
        <w:t>本年度无该项目资金</w:t>
      </w:r>
      <w:r>
        <w:rPr>
          <w:rFonts w:hint="eastAsia" w:ascii="仿宋" w:hAnsi="仿宋" w:eastAsia="仿宋" w:cs="仿宋"/>
          <w:color w:val="auto"/>
          <w:kern w:val="2"/>
          <w:sz w:val="31"/>
          <w:szCs w:val="31"/>
          <w:highlight w:val="none"/>
          <w:lang w:val="en-US" w:eastAsia="zh-CN" w:bidi="ar"/>
        </w:rPr>
        <w:t>。</w:t>
      </w:r>
    </w:p>
    <w:p>
      <w:pPr>
        <w:pStyle w:val="6"/>
        <w:widowControl/>
        <w:spacing w:before="450" w:beforeAutospacing="0" w:after="450" w:afterAutospacing="0" w:line="420" w:lineRule="atLeast"/>
        <w:ind w:firstLine="645"/>
        <w:rPr>
          <w:rFonts w:ascii="仿宋_GB2312" w:hAnsi="微软雅黑" w:eastAsia="仿宋_GB2312" w:cs="仿宋_GB2312"/>
          <w:color w:val="auto"/>
          <w:sz w:val="31"/>
          <w:szCs w:val="31"/>
          <w:u w:val="single"/>
          <w:shd w:val="clear" w:color="auto" w:fill="FFFFFF"/>
        </w:rPr>
      </w:pPr>
      <w:r>
        <w:rPr>
          <w:rFonts w:hint="eastAsia" w:ascii="黑体" w:hAnsi="宋体" w:eastAsia="黑体" w:cs="黑体"/>
          <w:color w:val="auto"/>
          <w:sz w:val="32"/>
          <w:szCs w:val="32"/>
          <w:shd w:val="clear" w:color="auto" w:fill="FFFFFF"/>
        </w:rPr>
        <w:t>二、2022年度一般公共预算财政拨款支出决算情况</w:t>
      </w:r>
    </w:p>
    <w:p>
      <w:pPr>
        <w:pStyle w:val="6"/>
        <w:widowControl/>
        <w:spacing w:before="450" w:beforeAutospacing="0" w:after="450" w:afterAutospacing="0" w:line="420" w:lineRule="atLeast"/>
        <w:ind w:left="309" w:leftChars="147"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u w:val="single"/>
          <w:shd w:val="clear" w:color="auto" w:fill="FFFFFF"/>
        </w:rPr>
        <w:t>百色市群众工作服务中心</w:t>
      </w:r>
      <w:r>
        <w:rPr>
          <w:rFonts w:hint="eastAsia" w:ascii="仿宋" w:hAnsi="仿宋" w:eastAsia="仿宋" w:cs="仿宋"/>
          <w:color w:val="auto"/>
          <w:sz w:val="31"/>
          <w:szCs w:val="31"/>
          <w:shd w:val="clear" w:color="auto" w:fill="FFFFFF"/>
        </w:rPr>
        <w:t>2022年度一般公共预算财政拨款支出</w:t>
      </w:r>
      <w:r>
        <w:rPr>
          <w:rFonts w:hint="eastAsia" w:ascii="仿宋" w:hAnsi="仿宋" w:eastAsia="仿宋" w:cs="仿宋"/>
          <w:color w:val="auto"/>
          <w:sz w:val="31"/>
          <w:szCs w:val="31"/>
        </w:rPr>
        <w:t>128.93</w:t>
      </w:r>
      <w:r>
        <w:rPr>
          <w:rFonts w:hint="eastAsia" w:ascii="仿宋" w:hAnsi="仿宋" w:eastAsia="仿宋" w:cs="仿宋"/>
          <w:color w:val="auto"/>
          <w:sz w:val="31"/>
          <w:szCs w:val="31"/>
          <w:shd w:val="clear" w:color="auto" w:fill="FFFFFF"/>
        </w:rPr>
        <w:t>万元，较2021年度决算数</w:t>
      </w:r>
      <w:r>
        <w:rPr>
          <w:rFonts w:hint="eastAsia" w:ascii="仿宋" w:hAnsi="仿宋" w:eastAsia="仿宋" w:cs="仿宋"/>
          <w:color w:val="auto"/>
          <w:sz w:val="31"/>
          <w:szCs w:val="31"/>
          <w:shd w:val="clear" w:color="auto" w:fill="FFFFFF"/>
          <w:lang w:val="en-US" w:eastAsia="zh-CN"/>
        </w:rPr>
        <w:t>0.00</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rPr>
        <w:t>增加128.93</w:t>
      </w:r>
      <w:r>
        <w:rPr>
          <w:rFonts w:hint="eastAsia" w:ascii="仿宋" w:hAnsi="仿宋" w:eastAsia="仿宋" w:cs="仿宋"/>
          <w:color w:val="auto"/>
          <w:sz w:val="31"/>
          <w:szCs w:val="31"/>
          <w:shd w:val="clear" w:color="auto" w:fill="FFFFFF"/>
        </w:rPr>
        <w:t>万元，</w:t>
      </w:r>
      <w:r>
        <w:rPr>
          <w:rFonts w:hint="eastAsia" w:ascii="仿宋" w:hAnsi="仿宋" w:eastAsia="仿宋" w:cs="仿宋"/>
          <w:color w:val="auto"/>
          <w:sz w:val="31"/>
          <w:szCs w:val="31"/>
        </w:rPr>
        <w:t>增长100%</w:t>
      </w:r>
      <w:r>
        <w:rPr>
          <w:rFonts w:hint="eastAsia" w:ascii="仿宋" w:hAnsi="仿宋" w:eastAsia="仿宋" w:cs="仿宋"/>
          <w:color w:val="auto"/>
          <w:sz w:val="31"/>
          <w:szCs w:val="31"/>
          <w:shd w:val="clear" w:color="auto" w:fill="FFFFFF"/>
        </w:rPr>
        <w:t> 。其中：基本支出</w:t>
      </w:r>
      <w:r>
        <w:rPr>
          <w:rFonts w:hint="eastAsia" w:ascii="仿宋" w:hAnsi="仿宋" w:eastAsia="仿宋" w:cs="仿宋"/>
          <w:color w:val="auto"/>
          <w:sz w:val="31"/>
          <w:szCs w:val="31"/>
        </w:rPr>
        <w:t>128.93</w:t>
      </w:r>
      <w:r>
        <w:rPr>
          <w:rFonts w:hint="eastAsia" w:ascii="仿宋" w:hAnsi="仿宋" w:eastAsia="仿宋" w:cs="仿宋"/>
          <w:color w:val="auto"/>
          <w:sz w:val="31"/>
          <w:szCs w:val="31"/>
          <w:shd w:val="clear" w:color="auto" w:fill="FFFFFF"/>
        </w:rPr>
        <w:t>万元，项目支出</w:t>
      </w:r>
      <w:r>
        <w:rPr>
          <w:rFonts w:hint="eastAsia" w:ascii="仿宋" w:hAnsi="仿宋" w:eastAsia="仿宋" w:cs="仿宋"/>
          <w:color w:val="auto"/>
          <w:sz w:val="31"/>
          <w:szCs w:val="31"/>
        </w:rPr>
        <w:t>0.00</w:t>
      </w:r>
      <w:r>
        <w:rPr>
          <w:rFonts w:hint="eastAsia" w:ascii="仿宋" w:hAnsi="仿宋" w:eastAsia="仿宋" w:cs="仿宋"/>
          <w:color w:val="auto"/>
          <w:sz w:val="31"/>
          <w:szCs w:val="31"/>
          <w:shd w:val="clear" w:color="auto" w:fill="FFFFFF"/>
        </w:rPr>
        <w:t xml:space="preserve"> 万元。</w:t>
      </w:r>
    </w:p>
    <w:p>
      <w:pPr>
        <w:pStyle w:val="6"/>
        <w:widowControl/>
        <w:spacing w:before="450" w:beforeAutospacing="0" w:after="450" w:afterAutospacing="0" w:line="420" w:lineRule="atLeast"/>
        <w:ind w:firstLine="630"/>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u w:val="single"/>
          <w:shd w:val="clear" w:color="auto" w:fill="FFFFFF"/>
        </w:rPr>
        <w:t>百色市群众工作服务中心</w:t>
      </w:r>
      <w:r>
        <w:rPr>
          <w:rFonts w:hint="eastAsia" w:ascii="仿宋" w:hAnsi="仿宋" w:eastAsia="仿宋" w:cs="仿宋"/>
          <w:color w:val="auto"/>
          <w:sz w:val="31"/>
          <w:szCs w:val="31"/>
          <w:shd w:val="clear" w:color="auto" w:fill="FFFFFF"/>
        </w:rPr>
        <w:t>2022年度一般公共预算财政拨款支出年初预算为</w:t>
      </w:r>
      <w:r>
        <w:rPr>
          <w:rFonts w:hint="eastAsia" w:ascii="仿宋" w:hAnsi="仿宋" w:eastAsia="仿宋" w:cs="仿宋"/>
          <w:color w:val="auto"/>
          <w:sz w:val="31"/>
          <w:szCs w:val="31"/>
        </w:rPr>
        <w:t>92.24</w:t>
      </w:r>
      <w:r>
        <w:rPr>
          <w:rFonts w:hint="eastAsia" w:ascii="仿宋" w:hAnsi="仿宋" w:eastAsia="仿宋" w:cs="仿宋"/>
          <w:color w:val="auto"/>
          <w:sz w:val="31"/>
          <w:szCs w:val="31"/>
          <w:shd w:val="clear" w:color="auto" w:fill="FFFFFF"/>
        </w:rPr>
        <w:t>万元，支出决算为</w:t>
      </w:r>
      <w:r>
        <w:rPr>
          <w:rFonts w:hint="eastAsia" w:ascii="仿宋" w:hAnsi="仿宋" w:eastAsia="仿宋" w:cs="仿宋"/>
          <w:color w:val="auto"/>
          <w:sz w:val="31"/>
          <w:szCs w:val="31"/>
        </w:rPr>
        <w:t>128.93</w:t>
      </w:r>
      <w:r>
        <w:rPr>
          <w:rFonts w:hint="eastAsia" w:ascii="仿宋" w:hAnsi="仿宋" w:eastAsia="仿宋" w:cs="仿宋"/>
          <w:color w:val="auto"/>
          <w:sz w:val="31"/>
          <w:szCs w:val="31"/>
          <w:shd w:val="clear" w:color="auto" w:fill="FFFFFF"/>
        </w:rPr>
        <w:t>万元，完成年初预算的</w:t>
      </w:r>
      <w:r>
        <w:rPr>
          <w:rFonts w:hint="eastAsia" w:ascii="仿宋" w:hAnsi="仿宋" w:eastAsia="仿宋" w:cs="仿宋"/>
          <w:color w:val="auto"/>
          <w:sz w:val="31"/>
          <w:szCs w:val="31"/>
        </w:rPr>
        <w:t>139.78%</w:t>
      </w:r>
      <w:r>
        <w:rPr>
          <w:rFonts w:hint="eastAsia" w:ascii="仿宋" w:hAnsi="仿宋" w:eastAsia="仿宋" w:cs="仿宋"/>
          <w:color w:val="auto"/>
          <w:sz w:val="31"/>
          <w:szCs w:val="31"/>
          <w:shd w:val="clear" w:color="auto" w:fill="FFFFFF"/>
        </w:rPr>
        <w:t>。</w:t>
      </w:r>
    </w:p>
    <w:p>
      <w:pPr>
        <w:jc w:val="left"/>
        <w:rPr>
          <w:rFonts w:hint="eastAsia" w:ascii="仿宋" w:hAnsi="仿宋" w:eastAsia="仿宋" w:cs="仿宋"/>
          <w:color w:val="auto"/>
          <w:sz w:val="31"/>
          <w:szCs w:val="31"/>
          <w:shd w:val="clear" w:color="auto" w:fill="FFFFFF"/>
        </w:rPr>
      </w:pPr>
      <w:r>
        <w:rPr>
          <w:rFonts w:ascii="仿宋" w:hAnsi="仿宋" w:eastAsia="仿宋" w:cs="仿宋"/>
          <w:color w:val="auto"/>
          <w:sz w:val="31"/>
          <w:u w:color="auto"/>
        </w:rPr>
        <w:t xml:space="preserve"> </w:t>
      </w:r>
      <w:r>
        <w:rPr>
          <w:rFonts w:hint="eastAsia" w:ascii="仿宋" w:hAnsi="仿宋" w:eastAsia="仿宋" w:cs="仿宋"/>
          <w:color w:val="auto"/>
          <w:sz w:val="31"/>
          <w:u w:color="auto"/>
          <w:lang w:val="en-US" w:eastAsia="zh-CN"/>
        </w:rPr>
        <w:t xml:space="preserve">   </w:t>
      </w: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1)一般公共服务支出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政府办公厅（室）及相关机构事务</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事业运行</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63.91</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100.64</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157.47%</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sz w:val="31"/>
          <w:szCs w:val="31"/>
          <w:shd w:val="clear" w:color="auto" w:fill="FFFFFF"/>
          <w:lang w:val="en-US" w:eastAsia="zh-CN"/>
        </w:rPr>
        <w:t>：在职人员正常晋级晋职增加工资、绩效等经费，按实际支出。</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2)社会保障和就业支出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行政事业单位养老支出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行政单位离退休</w:t>
      </w:r>
      <w:r>
        <w:rPr>
          <w:rFonts w:hint="eastAsia" w:ascii="仿宋" w:hAnsi="仿宋" w:eastAsia="仿宋" w:cs="仿宋"/>
          <w:color w:val="auto"/>
          <w:sz w:val="31"/>
          <w:szCs w:val="31"/>
          <w:shd w:val="clear" w:color="auto" w:fill="FFFFFF"/>
        </w:rPr>
        <w:t>（项）年初预算为</w:t>
      </w:r>
      <w:r>
        <w:rPr>
          <w:rFonts w:hint="eastAsia" w:ascii="仿宋" w:hAnsi="仿宋" w:eastAsia="仿宋" w:cs="仿宋"/>
          <w:color w:val="auto"/>
          <w:sz w:val="31"/>
          <w:u w:color="auto"/>
          <w:lang w:val="en-US" w:eastAsia="zh-CN"/>
        </w:rPr>
        <w:t>13.93</w:t>
      </w:r>
      <w:r>
        <w:rPr>
          <w:rFonts w:hint="eastAsia" w:ascii="仿宋" w:hAnsi="仿宋" w:eastAsia="仿宋" w:cs="仿宋"/>
          <w:color w:val="auto"/>
          <w:sz w:val="31"/>
          <w:szCs w:val="31"/>
          <w:shd w:val="clear" w:color="auto" w:fill="FFFFFF"/>
        </w:rPr>
        <w:t>万元，支出决算为</w:t>
      </w:r>
      <w:r>
        <w:rPr>
          <w:rFonts w:ascii="仿宋" w:hAnsi="仿宋" w:eastAsia="仿宋" w:cs="仿宋"/>
          <w:color w:val="auto"/>
          <w:sz w:val="31"/>
          <w:u w:color="auto"/>
        </w:rPr>
        <w:t>13.93</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100%</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shd w:val="clear" w:color="auto" w:fill="FFFFFF"/>
          <w:lang w:val="en-US" w:eastAsia="zh-CN"/>
        </w:rPr>
        <w:t>预算支出无差异</w:t>
      </w:r>
      <w:r>
        <w:rPr>
          <w:rFonts w:hint="eastAsia" w:ascii="仿宋" w:hAnsi="仿宋" w:eastAsia="仿宋" w:cs="仿宋"/>
          <w:color w:val="auto"/>
          <w:kern w:val="2"/>
          <w:sz w:val="31"/>
          <w:szCs w:val="31"/>
          <w:highlight w:val="none"/>
          <w:lang w:val="en-US" w:eastAsia="zh-CN" w:bidi="ar"/>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3)卫生健康支出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行政事业单位医疗</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行政单位医疗</w:t>
      </w:r>
      <w:r>
        <w:rPr>
          <w:rFonts w:hint="eastAsia" w:ascii="仿宋" w:hAnsi="仿宋" w:eastAsia="仿宋" w:cs="仿宋"/>
          <w:color w:val="auto"/>
          <w:sz w:val="31"/>
          <w:szCs w:val="31"/>
          <w:shd w:val="clear" w:color="auto" w:fill="FFFFFF"/>
        </w:rPr>
        <w:t>（项）年初预算为</w:t>
      </w:r>
      <w:r>
        <w:rPr>
          <w:rFonts w:hint="eastAsia" w:ascii="仿宋" w:hAnsi="仿宋" w:eastAsia="仿宋" w:cs="仿宋"/>
          <w:color w:val="auto"/>
          <w:sz w:val="31"/>
          <w:u w:color="auto"/>
          <w:lang w:val="en-US" w:eastAsia="zh-CN"/>
        </w:rPr>
        <w:t>3.91</w:t>
      </w:r>
      <w:r>
        <w:rPr>
          <w:rFonts w:hint="eastAsia" w:ascii="仿宋" w:hAnsi="仿宋" w:eastAsia="仿宋" w:cs="仿宋"/>
          <w:color w:val="auto"/>
          <w:sz w:val="31"/>
          <w:szCs w:val="31"/>
          <w:shd w:val="clear" w:color="auto" w:fill="FFFFFF"/>
        </w:rPr>
        <w:t>万元，支出决算为</w:t>
      </w:r>
      <w:r>
        <w:rPr>
          <w:rFonts w:ascii="仿宋" w:hAnsi="仿宋" w:eastAsia="仿宋" w:cs="仿宋"/>
          <w:color w:val="auto"/>
          <w:sz w:val="31"/>
          <w:u w:color="auto"/>
        </w:rPr>
        <w:t>3.91</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100%</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shd w:val="clear" w:color="auto" w:fill="FFFFFF"/>
          <w:lang w:val="en-US" w:eastAsia="zh-CN"/>
        </w:rPr>
        <w:t>预算支出无差异</w:t>
      </w:r>
      <w:r>
        <w:rPr>
          <w:rFonts w:hint="eastAsia" w:ascii="仿宋" w:hAnsi="仿宋" w:eastAsia="仿宋" w:cs="仿宋"/>
          <w:color w:val="auto"/>
          <w:kern w:val="2"/>
          <w:sz w:val="31"/>
          <w:szCs w:val="31"/>
          <w:highlight w:val="none"/>
          <w:lang w:val="en-US" w:eastAsia="zh-CN" w:bidi="ar"/>
        </w:rPr>
        <w:t>。</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4)住房保障支出</w:t>
      </w:r>
      <w:r>
        <w:rPr>
          <w:rFonts w:hint="eastAsia" w:ascii="仿宋" w:hAnsi="仿宋" w:eastAsia="仿宋" w:cs="仿宋"/>
          <w:color w:val="auto"/>
          <w:sz w:val="31"/>
          <w:szCs w:val="31"/>
          <w:shd w:val="clear" w:color="auto" w:fill="FFFFFF"/>
        </w:rPr>
        <w:t>（类）</w:t>
      </w:r>
      <w:r>
        <w:rPr>
          <w:rFonts w:hint="eastAsia" w:ascii="仿宋" w:hAnsi="仿宋" w:eastAsia="仿宋" w:cs="仿宋"/>
          <w:color w:val="auto"/>
          <w:sz w:val="31"/>
          <w:szCs w:val="31"/>
          <w:shd w:val="clear" w:color="auto" w:fill="FFFFFF"/>
          <w:lang w:val="en-US" w:eastAsia="zh-CN"/>
        </w:rPr>
        <w:t>住房改革支出</w:t>
      </w:r>
      <w:r>
        <w:rPr>
          <w:rFonts w:hint="eastAsia" w:ascii="仿宋" w:hAnsi="仿宋" w:eastAsia="仿宋" w:cs="仿宋"/>
          <w:color w:val="auto"/>
          <w:sz w:val="31"/>
          <w:szCs w:val="31"/>
          <w:shd w:val="clear" w:color="auto" w:fill="FFFFFF"/>
        </w:rPr>
        <w:t>（款）</w:t>
      </w:r>
      <w:r>
        <w:rPr>
          <w:rFonts w:hint="eastAsia" w:ascii="仿宋" w:hAnsi="仿宋" w:eastAsia="仿宋" w:cs="仿宋"/>
          <w:color w:val="auto"/>
          <w:sz w:val="31"/>
          <w:szCs w:val="31"/>
          <w:shd w:val="clear" w:color="auto" w:fill="FFFFFF"/>
          <w:lang w:val="en-US" w:eastAsia="zh-CN"/>
        </w:rPr>
        <w:t>住房公积金</w:t>
      </w:r>
      <w:r>
        <w:rPr>
          <w:rFonts w:hint="eastAsia" w:ascii="仿宋" w:hAnsi="仿宋" w:eastAsia="仿宋" w:cs="仿宋"/>
          <w:color w:val="auto"/>
          <w:sz w:val="31"/>
          <w:szCs w:val="31"/>
          <w:shd w:val="clear" w:color="auto" w:fill="FFFFFF"/>
        </w:rPr>
        <w:t>（项）年初预算为</w:t>
      </w:r>
      <w:r>
        <w:rPr>
          <w:rFonts w:ascii="仿宋" w:hAnsi="仿宋" w:eastAsia="仿宋" w:cs="仿宋"/>
          <w:color w:val="auto"/>
          <w:sz w:val="31"/>
          <w:u w:color="auto"/>
        </w:rPr>
        <w:t>10.47</w:t>
      </w:r>
      <w:r>
        <w:rPr>
          <w:rFonts w:hint="eastAsia" w:ascii="仿宋" w:hAnsi="仿宋" w:eastAsia="仿宋" w:cs="仿宋"/>
          <w:color w:val="auto"/>
          <w:sz w:val="31"/>
          <w:szCs w:val="31"/>
          <w:shd w:val="clear" w:color="auto" w:fill="FFFFFF"/>
        </w:rPr>
        <w:t xml:space="preserve"> 万元，支出决算为</w:t>
      </w:r>
      <w:r>
        <w:rPr>
          <w:rFonts w:ascii="仿宋" w:hAnsi="仿宋" w:eastAsia="仿宋" w:cs="仿宋"/>
          <w:color w:val="auto"/>
          <w:sz w:val="31"/>
          <w:u w:color="auto"/>
        </w:rPr>
        <w:t>10.45</w:t>
      </w:r>
      <w:r>
        <w:rPr>
          <w:rFonts w:hint="eastAsia" w:ascii="仿宋" w:hAnsi="仿宋" w:eastAsia="仿宋" w:cs="仿宋"/>
          <w:color w:val="auto"/>
          <w:sz w:val="31"/>
          <w:szCs w:val="31"/>
          <w:shd w:val="clear" w:color="auto" w:fill="FFFFFF"/>
        </w:rPr>
        <w:t>万元，完成年初预算的</w:t>
      </w:r>
      <w:r>
        <w:rPr>
          <w:rFonts w:ascii="仿宋" w:hAnsi="仿宋" w:eastAsia="仿宋" w:cs="仿宋"/>
          <w:color w:val="auto"/>
          <w:sz w:val="31"/>
          <w:u w:color="auto"/>
        </w:rPr>
        <w:t>99.81%</w:t>
      </w:r>
      <w:r>
        <w:rPr>
          <w:rFonts w:hint="eastAsia" w:ascii="仿宋" w:hAnsi="仿宋" w:eastAsia="仿宋" w:cs="仿宋"/>
          <w:color w:val="auto"/>
          <w:sz w:val="31"/>
          <w:szCs w:val="31"/>
          <w:shd w:val="clear" w:color="auto" w:fill="FFFFFF"/>
        </w:rPr>
        <w:t>。</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kern w:val="2"/>
          <w:sz w:val="31"/>
          <w:szCs w:val="31"/>
          <w:highlight w:val="none"/>
          <w:lang w:val="en-US" w:eastAsia="zh-CN" w:bidi="ar"/>
        </w:rPr>
        <w:t>随工资福利支出而按比例相应调整的住房公积金缴存，年度内按实际情况支付。</w:t>
      </w:r>
    </w:p>
    <w:p>
      <w:pPr>
        <w:pStyle w:val="6"/>
        <w:widowControl/>
        <w:spacing w:before="450" w:beforeAutospacing="0" w:after="450" w:afterAutospacing="0" w:line="420" w:lineRule="atLeast"/>
        <w:ind w:firstLine="645"/>
        <w:rPr>
          <w:color w:val="auto"/>
          <w:sz w:val="32"/>
          <w:szCs w:val="32"/>
        </w:rPr>
      </w:pPr>
      <w:r>
        <w:rPr>
          <w:rFonts w:hint="eastAsia" w:ascii="黑体" w:hAnsi="宋体" w:eastAsia="黑体" w:cs="黑体"/>
          <w:color w:val="auto"/>
          <w:sz w:val="32"/>
          <w:szCs w:val="32"/>
          <w:shd w:val="clear" w:color="auto" w:fill="FFFFFF"/>
        </w:rPr>
        <w:t>三、2022年度一般公共预算财政拨款基本支出决算情况说明</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2022年度一般公共预算财政拨款基本支出</w:t>
      </w:r>
      <w:r>
        <w:rPr>
          <w:rFonts w:hint="eastAsia" w:ascii="仿宋" w:hAnsi="仿宋" w:eastAsia="仿宋" w:cs="仿宋"/>
          <w:color w:val="auto"/>
          <w:sz w:val="31"/>
          <w:szCs w:val="31"/>
        </w:rPr>
        <w:t>128.93</w:t>
      </w:r>
      <w:r>
        <w:rPr>
          <w:rFonts w:hint="eastAsia" w:ascii="仿宋" w:hAnsi="仿宋" w:eastAsia="仿宋" w:cs="仿宋"/>
          <w:color w:val="auto"/>
          <w:sz w:val="31"/>
          <w:szCs w:val="31"/>
          <w:shd w:val="clear" w:color="auto" w:fill="FFFFFF"/>
        </w:rPr>
        <w:t>万元，其中：人员经费支出</w:t>
      </w:r>
      <w:r>
        <w:rPr>
          <w:rFonts w:hint="eastAsia" w:ascii="仿宋" w:hAnsi="仿宋" w:eastAsia="仿宋" w:cs="仿宋"/>
          <w:color w:val="auto"/>
          <w:sz w:val="31"/>
          <w:szCs w:val="31"/>
        </w:rPr>
        <w:t>122.38</w:t>
      </w:r>
      <w:r>
        <w:rPr>
          <w:rFonts w:hint="eastAsia" w:ascii="仿宋" w:hAnsi="仿宋" w:eastAsia="仿宋" w:cs="仿宋"/>
          <w:color w:val="auto"/>
          <w:sz w:val="31"/>
          <w:szCs w:val="31"/>
          <w:shd w:val="clear" w:color="auto" w:fill="FFFFFF"/>
        </w:rPr>
        <w:t>万元，公用经费支出</w:t>
      </w:r>
      <w:r>
        <w:rPr>
          <w:rFonts w:hint="eastAsia" w:ascii="仿宋" w:hAnsi="仿宋" w:eastAsia="仿宋" w:cs="仿宋"/>
          <w:color w:val="auto"/>
          <w:sz w:val="31"/>
          <w:szCs w:val="31"/>
        </w:rPr>
        <w:t>6.56</w:t>
      </w:r>
      <w:r>
        <w:rPr>
          <w:rFonts w:hint="eastAsia" w:ascii="仿宋" w:hAnsi="仿宋" w:eastAsia="仿宋" w:cs="仿宋"/>
          <w:color w:val="auto"/>
          <w:sz w:val="31"/>
          <w:szCs w:val="31"/>
          <w:shd w:val="clear" w:color="auto" w:fill="FFFFFF"/>
        </w:rPr>
        <w:t>万元，支出具体情况如下：</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1)工资福利支出</w:t>
      </w:r>
      <w:r>
        <w:rPr>
          <w:rFonts w:hint="eastAsia" w:ascii="仿宋" w:hAnsi="仿宋" w:eastAsia="仿宋" w:cs="仿宋"/>
          <w:color w:val="auto"/>
          <w:sz w:val="31"/>
          <w:u w:color="auto"/>
          <w:lang w:val="en-US" w:eastAsia="zh-CN"/>
        </w:rPr>
        <w:t>85.83</w:t>
      </w:r>
      <w:r>
        <w:rPr>
          <w:rFonts w:ascii="仿宋" w:hAnsi="仿宋" w:eastAsia="仿宋" w:cs="仿宋"/>
          <w:color w:val="auto"/>
          <w:sz w:val="31"/>
          <w:u w:color="auto"/>
        </w:rPr>
        <w:t>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88.28%，</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kern w:val="2"/>
          <w:sz w:val="31"/>
          <w:szCs w:val="31"/>
          <w:highlight w:val="none"/>
          <w:lang w:val="en-US" w:eastAsia="zh-CN" w:bidi="ar"/>
        </w:rPr>
        <w:t>基本养老保险。</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其中：</w:t>
      </w:r>
      <w:r>
        <w:rPr>
          <w:rFonts w:ascii="仿宋" w:hAnsi="仿宋" w:eastAsia="仿宋" w:cs="仿宋"/>
          <w:color w:val="auto"/>
          <w:sz w:val="31"/>
          <w:u w:color="auto"/>
        </w:rPr>
        <w:t>30101基本工资54.08万元，30106伙食补助费3.20万元，30110职工基本医疗保险缴费3.91万元，30112其他社会保障缴费0.26万元，30113住房公积金10.45万元。</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2)商品和服务支出6.56万元，完成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60.74%，</w:t>
      </w:r>
      <w:r>
        <w:rPr>
          <w:rFonts w:hint="eastAsia" w:ascii="仿宋" w:hAnsi="仿宋" w:eastAsia="仿宋" w:cs="仿宋"/>
          <w:color w:val="auto"/>
          <w:sz w:val="31"/>
          <w:szCs w:val="31"/>
          <w:shd w:val="clear" w:color="auto" w:fill="FFFFFF"/>
          <w:lang w:val="en-US" w:eastAsia="zh-CN"/>
        </w:rPr>
        <w:t>形成</w:t>
      </w:r>
      <w:r>
        <w:rPr>
          <w:rFonts w:hint="eastAsia" w:ascii="仿宋" w:hAnsi="仿宋" w:eastAsia="仿宋" w:cs="仿宋"/>
          <w:color w:val="auto"/>
          <w:sz w:val="31"/>
          <w:szCs w:val="31"/>
          <w:highlight w:val="none"/>
        </w:rPr>
        <w:t>预决算差异</w:t>
      </w:r>
      <w:r>
        <w:rPr>
          <w:rFonts w:hint="eastAsia" w:ascii="仿宋" w:hAnsi="仿宋" w:eastAsia="仿宋" w:cs="仿宋"/>
          <w:color w:val="auto"/>
          <w:sz w:val="31"/>
          <w:szCs w:val="31"/>
          <w:highlight w:val="none"/>
          <w:lang w:val="en-US" w:eastAsia="zh-CN"/>
        </w:rPr>
        <w:t>原因是：</w:t>
      </w:r>
      <w:r>
        <w:rPr>
          <w:rFonts w:hint="eastAsia" w:ascii="仿宋" w:hAnsi="仿宋" w:eastAsia="仿宋" w:cs="仿宋"/>
          <w:color w:val="auto"/>
          <w:kern w:val="2"/>
          <w:sz w:val="31"/>
          <w:szCs w:val="31"/>
          <w:highlight w:val="none"/>
          <w:lang w:val="en-US" w:eastAsia="zh-CN" w:bidi="ar"/>
        </w:rPr>
        <w:t>比年初预算数少的原因是</w:t>
      </w:r>
      <w:r>
        <w:rPr>
          <w:rFonts w:hint="eastAsia" w:ascii="仿宋" w:hAnsi="仿宋" w:eastAsia="仿宋" w:cs="仿宋"/>
          <w:color w:val="auto"/>
          <w:kern w:val="0"/>
          <w:sz w:val="31"/>
          <w:szCs w:val="31"/>
        </w:rPr>
        <w:t>落实过紧日子要求压减支出</w:t>
      </w:r>
      <w:r>
        <w:rPr>
          <w:rFonts w:hint="eastAsia" w:ascii="仿宋" w:hAnsi="仿宋" w:eastAsia="仿宋" w:cs="仿宋"/>
          <w:color w:val="auto"/>
          <w:kern w:val="0"/>
          <w:sz w:val="31"/>
          <w:szCs w:val="31"/>
          <w:lang w:eastAsia="zh-CN"/>
        </w:rPr>
        <w:t>；</w:t>
      </w:r>
      <w:r>
        <w:rPr>
          <w:rFonts w:hint="eastAsia" w:ascii="仿宋" w:hAnsi="仿宋" w:eastAsia="仿宋" w:cs="仿宋"/>
          <w:color w:val="auto"/>
          <w:kern w:val="0"/>
          <w:sz w:val="31"/>
          <w:szCs w:val="31"/>
          <w:lang w:val="en-US" w:eastAsia="zh-CN"/>
        </w:rPr>
        <w:t>2021年没有独立决算，所以决算数为零，2022年增长100%。</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其中：</w:t>
      </w:r>
      <w:r>
        <w:rPr>
          <w:rFonts w:ascii="仿宋" w:hAnsi="仿宋" w:eastAsia="仿宋" w:cs="仿宋"/>
          <w:color w:val="auto"/>
          <w:sz w:val="31"/>
          <w:u w:color="auto"/>
        </w:rPr>
        <w:t>30201办公费6.56万元。</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3)对个人和家庭的补助</w:t>
      </w:r>
      <w:r>
        <w:rPr>
          <w:rFonts w:hint="eastAsia" w:ascii="仿宋" w:hAnsi="仿宋" w:eastAsia="仿宋" w:cs="仿宋"/>
          <w:color w:val="auto"/>
          <w:sz w:val="31"/>
          <w:u w:color="auto"/>
          <w:lang w:val="en-US" w:eastAsia="zh-CN"/>
        </w:rPr>
        <w:t>36.54</w:t>
      </w:r>
      <w:r>
        <w:rPr>
          <w:rFonts w:ascii="仿宋" w:hAnsi="仿宋" w:eastAsia="仿宋" w:cs="仿宋"/>
          <w:color w:val="auto"/>
          <w:sz w:val="31"/>
          <w:u w:color="auto"/>
        </w:rPr>
        <w:t>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100%，</w:t>
      </w:r>
      <w:r>
        <w:rPr>
          <w:rFonts w:hint="eastAsia" w:ascii="仿宋" w:hAnsi="仿宋" w:eastAsia="仿宋" w:cs="仿宋"/>
          <w:color w:val="auto"/>
          <w:sz w:val="31"/>
          <w:szCs w:val="31"/>
          <w:highlight w:val="none"/>
        </w:rPr>
        <w:t>预决算</w:t>
      </w:r>
      <w:r>
        <w:rPr>
          <w:rFonts w:hint="eastAsia" w:ascii="仿宋" w:hAnsi="仿宋" w:eastAsia="仿宋" w:cs="仿宋"/>
          <w:color w:val="auto"/>
          <w:sz w:val="31"/>
          <w:szCs w:val="31"/>
          <w:highlight w:val="none"/>
          <w:lang w:val="en-US" w:eastAsia="zh-CN"/>
        </w:rPr>
        <w:t>无</w:t>
      </w:r>
      <w:r>
        <w:rPr>
          <w:rFonts w:hint="eastAsia" w:ascii="仿宋" w:hAnsi="仿宋" w:eastAsia="仿宋" w:cs="仿宋"/>
          <w:color w:val="auto"/>
          <w:sz w:val="31"/>
          <w:szCs w:val="31"/>
          <w:highlight w:val="none"/>
        </w:rPr>
        <w:t>差异</w:t>
      </w:r>
      <w:r>
        <w:rPr>
          <w:rFonts w:hint="eastAsia" w:ascii="仿宋" w:hAnsi="仿宋" w:eastAsia="仿宋" w:cs="仿宋"/>
          <w:color w:val="auto"/>
          <w:kern w:val="2"/>
          <w:sz w:val="31"/>
          <w:szCs w:val="31"/>
          <w:highlight w:val="none"/>
          <w:lang w:val="en-US" w:eastAsia="zh-CN" w:bidi="ar"/>
        </w:rPr>
        <w:t>。</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其中：</w:t>
      </w:r>
      <w:r>
        <w:rPr>
          <w:rFonts w:ascii="仿宋" w:hAnsi="仿宋" w:eastAsia="仿宋" w:cs="仿宋"/>
          <w:color w:val="auto"/>
          <w:sz w:val="31"/>
          <w:u w:color="auto"/>
        </w:rPr>
        <w:t>30305生活补助2.59万元，30309奖励金33.95万元。</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4)债务利息及费用支出0.00万元，完成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0%，</w:t>
      </w:r>
      <w:r>
        <w:rPr>
          <w:rFonts w:hint="eastAsia" w:ascii="仿宋" w:hAnsi="仿宋" w:eastAsia="仿宋" w:cs="仿宋"/>
          <w:color w:val="auto"/>
          <w:sz w:val="31"/>
          <w:u w:color="auto"/>
          <w:lang w:val="en-US" w:eastAsia="zh-CN"/>
        </w:rPr>
        <w:t>本年度</w:t>
      </w:r>
      <w:r>
        <w:rPr>
          <w:rFonts w:hint="eastAsia" w:ascii="仿宋" w:hAnsi="仿宋" w:eastAsia="仿宋" w:cs="仿宋"/>
          <w:color w:val="auto"/>
          <w:sz w:val="31"/>
          <w:szCs w:val="31"/>
          <w:shd w:val="clear" w:color="auto" w:fill="FFFFFF"/>
          <w:lang w:val="en-US" w:eastAsia="zh-CN"/>
        </w:rPr>
        <w:t>无此项目资金</w:t>
      </w:r>
      <w:r>
        <w:rPr>
          <w:rFonts w:hint="eastAsia" w:ascii="仿宋" w:hAnsi="仿宋" w:eastAsia="仿宋" w:cs="仿宋"/>
          <w:color w:val="auto"/>
          <w:kern w:val="2"/>
          <w:sz w:val="31"/>
          <w:szCs w:val="31"/>
          <w:highlight w:val="none"/>
          <w:lang w:val="en-US" w:eastAsia="zh-CN" w:bidi="ar"/>
        </w:rPr>
        <w:t>。</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其中：</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5)资本性支出0.00万元，完成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0%，</w:t>
      </w:r>
      <w:r>
        <w:rPr>
          <w:rFonts w:hint="eastAsia" w:ascii="仿宋" w:hAnsi="仿宋" w:eastAsia="仿宋" w:cs="仿宋"/>
          <w:color w:val="auto"/>
          <w:sz w:val="31"/>
          <w:u w:color="auto"/>
          <w:lang w:val="en-US" w:eastAsia="zh-CN"/>
        </w:rPr>
        <w:t>本年度</w:t>
      </w:r>
      <w:r>
        <w:rPr>
          <w:rFonts w:hint="eastAsia" w:ascii="仿宋" w:hAnsi="仿宋" w:eastAsia="仿宋" w:cs="仿宋"/>
          <w:color w:val="auto"/>
          <w:sz w:val="31"/>
          <w:szCs w:val="31"/>
          <w:shd w:val="clear" w:color="auto" w:fill="FFFFFF"/>
          <w:lang w:val="en-US" w:eastAsia="zh-CN"/>
        </w:rPr>
        <w:t>无此项目资金</w:t>
      </w:r>
      <w:r>
        <w:rPr>
          <w:rFonts w:hint="eastAsia" w:ascii="仿宋" w:hAnsi="仿宋" w:eastAsia="仿宋" w:cs="仿宋"/>
          <w:color w:val="auto"/>
          <w:kern w:val="2"/>
          <w:sz w:val="31"/>
          <w:szCs w:val="31"/>
          <w:highlight w:val="none"/>
          <w:lang w:val="en-US" w:eastAsia="zh-CN" w:bidi="ar"/>
        </w:rPr>
        <w:t>。</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其中：</w:t>
      </w:r>
    </w:p>
    <w:p>
      <w:pPr>
        <w:keepNext w:val="0"/>
        <w:keepLines w:val="0"/>
        <w:widowControl w:val="0"/>
        <w:suppressLineNumbers w:val="0"/>
        <w:spacing w:before="0" w:beforeAutospacing="0" w:after="0" w:afterAutospacing="0"/>
        <w:ind w:left="0" w:right="0" w:firstLine="620" w:firstLineChars="20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w:t>
      </w:r>
      <w:r>
        <w:rPr>
          <w:rFonts w:ascii="仿宋" w:hAnsi="仿宋" w:eastAsia="仿宋" w:cs="仿宋"/>
          <w:color w:val="auto"/>
          <w:sz w:val="31"/>
          <w:u w:color="auto"/>
        </w:rPr>
        <w:t>6)其他支出0.00万元，完成</w:t>
      </w:r>
      <w:r>
        <w:rPr>
          <w:rFonts w:hint="eastAsia" w:ascii="仿宋" w:hAnsi="仿宋" w:eastAsia="仿宋" w:cs="仿宋"/>
          <w:color w:val="auto"/>
          <w:sz w:val="31"/>
          <w:szCs w:val="31"/>
          <w:highlight w:val="none"/>
          <w:shd w:val="clear" w:color="auto" w:fill="FFFFFF"/>
        </w:rPr>
        <w:t>年初预算的</w:t>
      </w:r>
      <w:r>
        <w:rPr>
          <w:rFonts w:ascii="仿宋" w:hAnsi="仿宋" w:eastAsia="仿宋" w:cs="仿宋"/>
          <w:color w:val="auto"/>
          <w:sz w:val="31"/>
          <w:u w:color="auto"/>
        </w:rPr>
        <w:t>0%，</w:t>
      </w:r>
      <w:r>
        <w:rPr>
          <w:rFonts w:hint="eastAsia" w:ascii="仿宋" w:hAnsi="仿宋" w:eastAsia="仿宋" w:cs="仿宋"/>
          <w:color w:val="auto"/>
          <w:sz w:val="31"/>
          <w:u w:color="auto"/>
          <w:lang w:val="en-US" w:eastAsia="zh-CN"/>
        </w:rPr>
        <w:t>本年度</w:t>
      </w:r>
      <w:r>
        <w:rPr>
          <w:rFonts w:hint="eastAsia" w:ascii="仿宋" w:hAnsi="仿宋" w:eastAsia="仿宋" w:cs="仿宋"/>
          <w:color w:val="auto"/>
          <w:sz w:val="31"/>
          <w:szCs w:val="31"/>
          <w:shd w:val="clear" w:color="auto" w:fill="FFFFFF"/>
          <w:lang w:val="en-US" w:eastAsia="zh-CN"/>
        </w:rPr>
        <w:t>无此项目资金</w:t>
      </w:r>
      <w:r>
        <w:rPr>
          <w:rFonts w:hint="eastAsia" w:ascii="仿宋" w:hAnsi="仿宋" w:eastAsia="仿宋" w:cs="仿宋"/>
          <w:color w:val="auto"/>
          <w:kern w:val="2"/>
          <w:sz w:val="31"/>
          <w:szCs w:val="31"/>
          <w:highlight w:val="none"/>
          <w:lang w:val="en-US" w:eastAsia="zh-CN" w:bidi="ar"/>
        </w:rPr>
        <w:t>。</w:t>
      </w:r>
    </w:p>
    <w:p>
      <w:pPr>
        <w:pStyle w:val="6"/>
        <w:widowControl/>
        <w:spacing w:before="450" w:beforeAutospacing="0" w:after="450" w:afterAutospacing="0" w:line="420" w:lineRule="atLeast"/>
        <w:ind w:firstLine="645"/>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其中：</w:t>
      </w:r>
    </w:p>
    <w:p>
      <w:pPr>
        <w:autoSpaceDE w:val="0"/>
        <w:autoSpaceDN w:val="0"/>
        <w:adjustRightInd w:val="0"/>
        <w:spacing w:line="560" w:lineRule="exact"/>
        <w:ind w:firstLine="640" w:firstLineChars="200"/>
        <w:jc w:val="left"/>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四、2022年度政府性基金支出决算情况</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i w:val="0"/>
          <w:iCs w:val="0"/>
          <w:color w:val="auto"/>
          <w:sz w:val="31"/>
          <w:szCs w:val="31"/>
          <w:u w:val="single"/>
          <w:shd w:val="clear" w:color="auto" w:fill="FFFFFF"/>
        </w:rPr>
        <w:t>百色市群众工作服务中心</w:t>
      </w:r>
      <w:r>
        <w:rPr>
          <w:rFonts w:hint="eastAsia" w:ascii="仿宋" w:hAnsi="仿宋" w:eastAsia="仿宋" w:cs="仿宋"/>
          <w:i w:val="0"/>
          <w:iCs w:val="0"/>
          <w:color w:val="auto"/>
          <w:kern w:val="0"/>
          <w:sz w:val="31"/>
          <w:szCs w:val="31"/>
        </w:rPr>
        <w:t>2022年度政府性基</w:t>
      </w:r>
      <w:r>
        <w:rPr>
          <w:rFonts w:hint="eastAsia" w:ascii="仿宋" w:hAnsi="仿宋" w:eastAsia="仿宋" w:cs="仿宋"/>
          <w:color w:val="auto"/>
          <w:kern w:val="0"/>
          <w:sz w:val="31"/>
          <w:szCs w:val="31"/>
        </w:rPr>
        <w:t>金支出</w:t>
      </w:r>
      <w:r>
        <w:rPr>
          <w:rFonts w:ascii="仿宋" w:hAnsi="仿宋" w:eastAsia="仿宋" w:cs="仿宋"/>
          <w:color w:val="auto"/>
          <w:sz w:val="31"/>
          <w:u w:color="auto"/>
        </w:rPr>
        <w:t>0.00万元，较2021年度决算数增加0.00万元，增长0%。其中：基本支出0.00万元，项目支出0.00万元。</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sz w:val="31"/>
          <w:szCs w:val="31"/>
          <w:u w:val="single"/>
          <w:shd w:val="clear" w:color="auto" w:fill="FFFFFF"/>
        </w:rPr>
        <w:t>百色市群众工作服务中心</w:t>
      </w:r>
      <w:r>
        <w:rPr>
          <w:rFonts w:hint="eastAsia" w:ascii="仿宋" w:hAnsi="仿宋" w:eastAsia="仿宋" w:cs="仿宋"/>
          <w:color w:val="auto"/>
          <w:kern w:val="0"/>
          <w:sz w:val="31"/>
          <w:szCs w:val="31"/>
        </w:rPr>
        <w:t>2022 年度政府性基金支出年初预算为</w:t>
      </w:r>
      <w:r>
        <w:rPr>
          <w:rFonts w:ascii="仿宋" w:hAnsi="仿宋" w:eastAsia="仿宋" w:cs="仿宋"/>
          <w:color w:val="auto"/>
          <w:sz w:val="31"/>
          <w:u w:color="auto"/>
        </w:rPr>
        <w:t>0.00万元，支出决算为0.00万元，完成年初预算的0%。</w:t>
      </w:r>
    </w:p>
    <w:p>
      <w:pPr>
        <w:autoSpaceDE w:val="0"/>
        <w:autoSpaceDN w:val="0"/>
        <w:adjustRightInd w:val="0"/>
        <w:spacing w:line="560" w:lineRule="exact"/>
        <w:ind w:firstLine="640" w:firstLineChars="200"/>
        <w:jc w:val="left"/>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五、2022年度国有资本经营预算支出决算情况</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sz w:val="31"/>
          <w:szCs w:val="31"/>
          <w:u w:val="single"/>
          <w:shd w:val="clear" w:color="auto" w:fill="FFFFFF"/>
        </w:rPr>
        <w:t>百色市群众工作服务中心</w:t>
      </w:r>
      <w:r>
        <w:rPr>
          <w:rFonts w:hint="eastAsia" w:ascii="仿宋" w:hAnsi="仿宋" w:eastAsia="仿宋" w:cs="仿宋"/>
          <w:color w:val="auto"/>
          <w:kern w:val="0"/>
          <w:sz w:val="31"/>
          <w:szCs w:val="31"/>
        </w:rPr>
        <w:t>2022年度国有资本经营预算支出</w:t>
      </w:r>
      <w:r>
        <w:rPr>
          <w:rFonts w:hint="eastAsia" w:ascii="仿宋" w:hAnsi="仿宋" w:eastAsia="仿宋" w:cs="仿宋"/>
          <w:color w:val="auto"/>
          <w:sz w:val="31"/>
          <w:szCs w:val="31"/>
        </w:rPr>
        <w:t>0.00</w:t>
      </w:r>
      <w:r>
        <w:rPr>
          <w:rFonts w:hint="eastAsia" w:ascii="仿宋" w:hAnsi="仿宋" w:eastAsia="仿宋" w:cs="仿宋"/>
          <w:color w:val="auto"/>
          <w:kern w:val="0"/>
          <w:sz w:val="31"/>
          <w:szCs w:val="31"/>
        </w:rPr>
        <w:t>万元。其中：基本支出</w:t>
      </w:r>
      <w:r>
        <w:rPr>
          <w:rFonts w:hint="eastAsia" w:ascii="仿宋" w:hAnsi="仿宋" w:eastAsia="仿宋" w:cs="仿宋"/>
          <w:color w:val="auto"/>
          <w:sz w:val="31"/>
          <w:szCs w:val="31"/>
        </w:rPr>
        <w:t>0.00</w:t>
      </w:r>
      <w:r>
        <w:rPr>
          <w:rFonts w:hint="eastAsia" w:ascii="仿宋" w:hAnsi="仿宋" w:eastAsia="仿宋" w:cs="仿宋"/>
          <w:color w:val="auto"/>
          <w:kern w:val="0"/>
          <w:sz w:val="31"/>
          <w:szCs w:val="31"/>
        </w:rPr>
        <w:t>万元，项目支出</w:t>
      </w:r>
      <w:r>
        <w:rPr>
          <w:rFonts w:hint="eastAsia" w:ascii="仿宋" w:hAnsi="仿宋" w:eastAsia="仿宋" w:cs="仿宋"/>
          <w:color w:val="auto"/>
          <w:sz w:val="31"/>
          <w:szCs w:val="31"/>
        </w:rPr>
        <w:t>0.00</w:t>
      </w:r>
      <w:r>
        <w:rPr>
          <w:rFonts w:hint="eastAsia" w:ascii="仿宋" w:hAnsi="仿宋" w:eastAsia="仿宋" w:cs="仿宋"/>
          <w:color w:val="auto"/>
          <w:kern w:val="0"/>
          <w:sz w:val="31"/>
          <w:szCs w:val="31"/>
        </w:rPr>
        <w:t>万元。</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sz w:val="31"/>
          <w:szCs w:val="31"/>
          <w:u w:val="single"/>
          <w:shd w:val="clear" w:color="auto" w:fill="FFFFFF"/>
        </w:rPr>
        <w:t>百色市群众工作服务中心</w:t>
      </w:r>
      <w:r>
        <w:rPr>
          <w:rFonts w:hint="eastAsia" w:ascii="仿宋" w:hAnsi="仿宋" w:eastAsia="仿宋" w:cs="仿宋"/>
          <w:color w:val="auto"/>
          <w:kern w:val="0"/>
          <w:sz w:val="31"/>
          <w:szCs w:val="31"/>
        </w:rPr>
        <w:t>2022 年度国有资本经营预算支出年初预算为</w:t>
      </w:r>
      <w:r>
        <w:rPr>
          <w:rFonts w:ascii="仿宋" w:hAnsi="仿宋" w:eastAsia="仿宋" w:cs="仿宋"/>
          <w:color w:val="auto"/>
          <w:sz w:val="31"/>
          <w:u w:color="auto"/>
        </w:rPr>
        <w:t>0.00万元，支出决算为0.00万元，完成年初预算的0%</w:t>
      </w:r>
      <w:r>
        <w:rPr>
          <w:rFonts w:hint="eastAsia" w:ascii="仿宋" w:hAnsi="仿宋" w:eastAsia="仿宋" w:cs="仿宋"/>
          <w:color w:val="auto"/>
          <w:kern w:val="0"/>
          <w:sz w:val="31"/>
          <w:szCs w:val="31"/>
        </w:rPr>
        <w:t>。</w:t>
      </w:r>
    </w:p>
    <w:p>
      <w:pPr>
        <w:autoSpaceDE w:val="0"/>
        <w:autoSpaceDN w:val="0"/>
        <w:adjustRightInd w:val="0"/>
        <w:spacing w:line="560" w:lineRule="exact"/>
        <w:ind w:firstLine="620" w:firstLineChars="200"/>
        <w:jc w:val="left"/>
        <w:rPr>
          <w:rFonts w:hint="eastAsia" w:ascii="仿宋" w:hAnsi="仿宋" w:eastAsia="仿宋" w:cs="仿宋"/>
          <w:color w:val="auto"/>
          <w:sz w:val="31"/>
          <w:u w:color="auto"/>
        </w:rPr>
      </w:pPr>
      <w:r>
        <w:rPr>
          <w:rFonts w:hint="eastAsia" w:ascii="仿宋" w:hAnsi="仿宋" w:eastAsia="仿宋" w:cs="仿宋"/>
          <w:color w:val="auto"/>
          <w:sz w:val="31"/>
          <w:u w:color="auto"/>
          <w:lang w:val="en-US" w:eastAsia="zh-CN"/>
        </w:rPr>
        <w:t xml:space="preserve">百色市群众工作服务中心2022年度没有没有国有资本经营预算财政拨款收入，也没有国有资本经营预算财政拨款安排的支出，故无数据情况说明。 </w:t>
      </w:r>
    </w:p>
    <w:p>
      <w:pPr>
        <w:autoSpaceDE w:val="0"/>
        <w:autoSpaceDN w:val="0"/>
        <w:adjustRightInd w:val="0"/>
        <w:spacing w:line="560" w:lineRule="exact"/>
        <w:ind w:firstLine="640" w:firstLineChars="200"/>
        <w:jc w:val="left"/>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六、</w:t>
      </w:r>
      <w:r>
        <w:rPr>
          <w:rFonts w:hint="eastAsia" w:ascii="黑体" w:hAnsi="黑体" w:eastAsia="黑体"/>
          <w:color w:val="auto"/>
          <w:sz w:val="32"/>
          <w:szCs w:val="32"/>
        </w:rPr>
        <w:t>一般</w:t>
      </w:r>
      <w:r>
        <w:rPr>
          <w:rFonts w:hint="eastAsia" w:ascii="黑体" w:hAnsi="黑体" w:eastAsia="黑体" w:cs="仿宋_GB2312"/>
          <w:color w:val="auto"/>
          <w:kern w:val="0"/>
          <w:sz w:val="32"/>
          <w:szCs w:val="32"/>
        </w:rPr>
        <w:t>公共预算财政拨款安排的“三公”经费支出决算情况说明</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2022年度</w:t>
      </w:r>
      <w:r>
        <w:rPr>
          <w:rFonts w:hint="eastAsia" w:ascii="仿宋" w:hAnsi="仿宋" w:eastAsia="仿宋" w:cs="仿宋"/>
          <w:color w:val="auto"/>
          <w:sz w:val="31"/>
          <w:szCs w:val="31"/>
        </w:rPr>
        <w:t>一般</w:t>
      </w:r>
      <w:r>
        <w:rPr>
          <w:rFonts w:hint="eastAsia" w:ascii="仿宋" w:hAnsi="仿宋" w:eastAsia="仿宋" w:cs="仿宋"/>
          <w:color w:val="auto"/>
          <w:kern w:val="0"/>
          <w:sz w:val="31"/>
          <w:szCs w:val="31"/>
        </w:rPr>
        <w:t>公共预算财政拨款安排的“三公”经费支出</w:t>
      </w:r>
      <w:r>
        <w:rPr>
          <w:rFonts w:ascii="仿宋" w:hAnsi="仿宋" w:eastAsia="仿宋" w:cs="仿宋"/>
          <w:color w:val="auto"/>
          <w:sz w:val="31"/>
          <w:u w:color="auto"/>
        </w:rPr>
        <w:t>0.00万元，完成年初预算的0%</w:t>
      </w:r>
      <w:r>
        <w:rPr>
          <w:rFonts w:hint="eastAsia" w:ascii="仿宋" w:hAnsi="仿宋" w:eastAsia="仿宋" w:cs="仿宋"/>
          <w:color w:val="auto"/>
          <w:kern w:val="0"/>
          <w:sz w:val="31"/>
          <w:szCs w:val="31"/>
        </w:rPr>
        <w:t>，比上年</w:t>
      </w:r>
      <w:r>
        <w:rPr>
          <w:rFonts w:ascii="仿宋" w:hAnsi="仿宋" w:eastAsia="仿宋" w:cs="仿宋"/>
          <w:color w:val="auto"/>
          <w:sz w:val="31"/>
          <w:u w:color="auto"/>
        </w:rPr>
        <w:t>增加0.00万元，</w:t>
      </w:r>
      <w:r>
        <w:rPr>
          <w:rFonts w:hint="eastAsia" w:ascii="仿宋" w:hAnsi="仿宋" w:eastAsia="仿宋" w:cs="仿宋"/>
          <w:color w:val="auto"/>
          <w:sz w:val="31"/>
          <w:u w:color="auto"/>
          <w:lang w:val="en-US" w:eastAsia="zh-CN"/>
        </w:rPr>
        <w:t>本年无此预算项目</w:t>
      </w:r>
      <w:r>
        <w:rPr>
          <w:rFonts w:hint="eastAsia" w:ascii="仿宋" w:hAnsi="仿宋" w:eastAsia="仿宋" w:cs="仿宋"/>
          <w:color w:val="auto"/>
          <w:kern w:val="2"/>
          <w:sz w:val="31"/>
          <w:szCs w:val="31"/>
          <w:highlight w:val="none"/>
          <w:lang w:val="en-US" w:eastAsia="zh-CN" w:bidi="ar"/>
        </w:rPr>
        <w:t>。</w:t>
      </w:r>
      <w:r>
        <w:rPr>
          <w:rFonts w:hint="eastAsia" w:ascii="仿宋" w:hAnsi="仿宋" w:eastAsia="仿宋" w:cs="仿宋"/>
          <w:color w:val="auto"/>
          <w:kern w:val="0"/>
          <w:sz w:val="31"/>
          <w:szCs w:val="31"/>
        </w:rPr>
        <w:t>其中：因公出国（境）费支出决算</w:t>
      </w:r>
      <w:r>
        <w:rPr>
          <w:rFonts w:ascii="仿宋" w:hAnsi="仿宋" w:eastAsia="仿宋" w:cs="仿宋"/>
          <w:color w:val="auto"/>
          <w:sz w:val="31"/>
          <w:u w:color="auto"/>
        </w:rPr>
        <w:t>0.00万元，公务用车购置及运行费支出决算0.00万元，公务接待费支出决算0.00万元。</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具体情况如下：</w:t>
      </w:r>
    </w:p>
    <w:p>
      <w:pPr>
        <w:autoSpaceDE w:val="0"/>
        <w:autoSpaceDN w:val="0"/>
        <w:adjustRightInd w:val="0"/>
        <w:spacing w:line="560" w:lineRule="exact"/>
        <w:ind w:firstLine="620" w:firstLineChars="200"/>
        <w:jc w:val="left"/>
        <w:rPr>
          <w:rFonts w:hint="eastAsia" w:ascii="仿宋" w:hAnsi="仿宋" w:eastAsia="仿宋" w:cs="仿宋"/>
          <w:bCs/>
          <w:color w:val="auto"/>
          <w:sz w:val="31"/>
          <w:szCs w:val="31"/>
        </w:rPr>
      </w:pPr>
      <w:r>
        <w:rPr>
          <w:rFonts w:hint="eastAsia" w:ascii="仿宋" w:hAnsi="仿宋" w:eastAsia="仿宋" w:cs="仿宋"/>
          <w:color w:val="auto"/>
          <w:kern w:val="0"/>
          <w:sz w:val="31"/>
          <w:szCs w:val="31"/>
        </w:rPr>
        <w:t>（一）因公出国（境）费支出</w:t>
      </w:r>
      <w:r>
        <w:rPr>
          <w:rFonts w:ascii="仿宋" w:hAnsi="仿宋" w:eastAsia="仿宋" w:cs="仿宋"/>
          <w:color w:val="auto"/>
          <w:sz w:val="31"/>
          <w:u w:color="auto"/>
        </w:rPr>
        <w:t>0.00万元，完成年初预算的0%</w:t>
      </w:r>
      <w:r>
        <w:rPr>
          <w:rFonts w:hint="eastAsia" w:ascii="仿宋" w:hAnsi="仿宋" w:eastAsia="仿宋" w:cs="仿宋"/>
          <w:color w:val="auto"/>
          <w:kern w:val="0"/>
          <w:sz w:val="31"/>
          <w:szCs w:val="31"/>
        </w:rPr>
        <w:t>，比上年</w:t>
      </w:r>
      <w:r>
        <w:rPr>
          <w:rFonts w:ascii="仿宋" w:hAnsi="仿宋" w:eastAsia="仿宋" w:cs="仿宋"/>
          <w:color w:val="auto"/>
          <w:sz w:val="31"/>
          <w:u w:color="auto"/>
        </w:rPr>
        <w:t>增加0.00万元，</w:t>
      </w:r>
      <w:r>
        <w:rPr>
          <w:rFonts w:hint="eastAsia" w:ascii="仿宋" w:hAnsi="仿宋" w:eastAsia="仿宋" w:cs="仿宋"/>
          <w:color w:val="auto"/>
          <w:kern w:val="2"/>
          <w:sz w:val="31"/>
          <w:szCs w:val="31"/>
          <w:highlight w:val="none"/>
          <w:lang w:val="en-US" w:eastAsia="zh-CN" w:bidi="ar"/>
        </w:rPr>
        <w:t>原因是：无此类项目资金</w:t>
      </w:r>
      <w:r>
        <w:rPr>
          <w:rFonts w:hint="eastAsia" w:ascii="仿宋" w:hAnsi="仿宋" w:eastAsia="仿宋" w:cs="仿宋"/>
          <w:bCs/>
          <w:color w:val="auto"/>
          <w:sz w:val="31"/>
          <w:szCs w:val="31"/>
        </w:rPr>
        <w:t>，</w:t>
      </w:r>
      <w:r>
        <w:rPr>
          <w:rFonts w:hint="eastAsia" w:ascii="仿宋" w:hAnsi="仿宋" w:eastAsia="仿宋" w:cs="仿宋"/>
          <w:bCs/>
          <w:color w:val="auto"/>
          <w:sz w:val="31"/>
          <w:szCs w:val="31"/>
        </w:rPr>
        <w:t>全年因公出国（境）团组共计</w:t>
      </w:r>
      <w:r>
        <w:rPr>
          <w:rFonts w:hint="eastAsia" w:ascii="仿宋" w:hAnsi="仿宋" w:eastAsia="仿宋" w:cs="仿宋"/>
          <w:bCs/>
          <w:color w:val="auto"/>
          <w:sz w:val="31"/>
          <w:szCs w:val="31"/>
          <w:u w:val="single"/>
        </w:rPr>
        <w:t>0</w:t>
      </w:r>
      <w:r>
        <w:rPr>
          <w:rFonts w:hint="eastAsia" w:ascii="仿宋" w:hAnsi="仿宋" w:eastAsia="仿宋" w:cs="仿宋"/>
          <w:bCs/>
          <w:color w:val="auto"/>
          <w:sz w:val="31"/>
          <w:szCs w:val="31"/>
        </w:rPr>
        <w:t>个，累计</w:t>
      </w:r>
      <w:r>
        <w:rPr>
          <w:rFonts w:hint="eastAsia" w:ascii="仿宋" w:hAnsi="仿宋" w:eastAsia="仿宋" w:cs="仿宋"/>
          <w:bCs/>
          <w:color w:val="auto"/>
          <w:sz w:val="31"/>
          <w:szCs w:val="31"/>
          <w:u w:val="single"/>
        </w:rPr>
        <w:t>0</w:t>
      </w:r>
      <w:r>
        <w:rPr>
          <w:rFonts w:hint="eastAsia" w:ascii="仿宋" w:hAnsi="仿宋" w:eastAsia="仿宋" w:cs="仿宋"/>
          <w:bCs/>
          <w:color w:val="auto"/>
          <w:sz w:val="31"/>
          <w:szCs w:val="31"/>
        </w:rPr>
        <w:t>人次。开支内容包括：</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lang w:eastAsia="zh-CN"/>
        </w:rPr>
      </w:pPr>
      <w:r>
        <w:rPr>
          <w:rFonts w:hint="eastAsia" w:ascii="仿宋" w:hAnsi="仿宋" w:eastAsia="仿宋" w:cs="仿宋"/>
          <w:color w:val="auto"/>
          <w:kern w:val="0"/>
          <w:sz w:val="31"/>
          <w:szCs w:val="31"/>
        </w:rPr>
        <w:t>（二）公务用车购置及运行费支出</w:t>
      </w:r>
      <w:r>
        <w:rPr>
          <w:rFonts w:ascii="仿宋" w:hAnsi="仿宋" w:eastAsia="仿宋" w:cs="仿宋"/>
          <w:color w:val="auto"/>
          <w:sz w:val="31"/>
          <w:u w:color="auto"/>
        </w:rPr>
        <w:t>0.00万元。其中：公务用车购置支出0.00万元，完成年初预算的</w:t>
      </w:r>
      <w:r>
        <w:rPr>
          <w:rFonts w:hint="eastAsia" w:ascii="仿宋" w:hAnsi="仿宋" w:eastAsia="仿宋" w:cs="仿宋"/>
          <w:color w:val="auto"/>
          <w:sz w:val="31"/>
          <w:szCs w:val="31"/>
        </w:rPr>
        <w:t>0%</w:t>
      </w:r>
      <w:r>
        <w:rPr>
          <w:rFonts w:hint="eastAsia" w:ascii="仿宋" w:hAnsi="仿宋" w:eastAsia="仿宋" w:cs="仿宋"/>
          <w:color w:val="auto"/>
          <w:kern w:val="0"/>
          <w:sz w:val="31"/>
          <w:szCs w:val="31"/>
        </w:rPr>
        <w:t>，比上年</w:t>
      </w:r>
      <w:r>
        <w:rPr>
          <w:rFonts w:hint="eastAsia" w:ascii="仿宋" w:hAnsi="仿宋" w:eastAsia="仿宋" w:cs="仿宋"/>
          <w:color w:val="auto"/>
          <w:sz w:val="31"/>
          <w:szCs w:val="31"/>
        </w:rPr>
        <w:t>增加0.00</w:t>
      </w:r>
      <w:r>
        <w:rPr>
          <w:rFonts w:hint="eastAsia" w:ascii="仿宋" w:hAnsi="仿宋" w:eastAsia="仿宋" w:cs="仿宋"/>
          <w:color w:val="auto"/>
          <w:kern w:val="0"/>
          <w:sz w:val="31"/>
          <w:szCs w:val="31"/>
        </w:rPr>
        <w:t>万元，</w:t>
      </w:r>
      <w:r>
        <w:rPr>
          <w:rFonts w:hint="eastAsia" w:ascii="仿宋" w:hAnsi="仿宋" w:eastAsia="仿宋" w:cs="仿宋"/>
          <w:color w:val="auto"/>
          <w:kern w:val="2"/>
          <w:sz w:val="31"/>
          <w:szCs w:val="31"/>
          <w:highlight w:val="none"/>
          <w:lang w:val="en-US" w:eastAsia="zh-CN" w:bidi="ar"/>
        </w:rPr>
        <w:t>无此类项目资金</w:t>
      </w:r>
      <w:r>
        <w:rPr>
          <w:rFonts w:hint="eastAsia" w:ascii="仿宋" w:hAnsi="仿宋" w:eastAsia="仿宋" w:cs="仿宋"/>
          <w:color w:val="auto"/>
          <w:kern w:val="0"/>
          <w:sz w:val="31"/>
          <w:szCs w:val="31"/>
        </w:rPr>
        <w:t>。购置</w:t>
      </w:r>
      <w:r>
        <w:rPr>
          <w:rFonts w:hint="eastAsia" w:ascii="仿宋" w:hAnsi="仿宋" w:eastAsia="仿宋" w:cs="仿宋"/>
          <w:color w:val="auto"/>
          <w:sz w:val="31"/>
          <w:szCs w:val="31"/>
        </w:rPr>
        <w:t>了</w:t>
      </w:r>
      <w:r>
        <w:rPr>
          <w:rFonts w:ascii="仿宋" w:hAnsi="仿宋" w:eastAsia="仿宋" w:cs="仿宋"/>
          <w:color w:val="auto"/>
          <w:sz w:val="31"/>
          <w:u w:color="auto"/>
        </w:rPr>
        <w:t>0辆公务用车，</w:t>
      </w:r>
      <w:r>
        <w:rPr>
          <w:rFonts w:hint="eastAsia" w:ascii="仿宋" w:hAnsi="仿宋" w:eastAsia="仿宋" w:cs="仿宋"/>
          <w:color w:val="auto"/>
          <w:kern w:val="2"/>
          <w:sz w:val="31"/>
          <w:szCs w:val="31"/>
          <w:highlight w:val="none"/>
          <w:lang w:val="en-US" w:eastAsia="zh-CN" w:bidi="ar"/>
        </w:rPr>
        <w:t>无此类项目资金。</w:t>
      </w:r>
      <w:r>
        <w:rPr>
          <w:rFonts w:hint="eastAsia" w:ascii="仿宋" w:hAnsi="仿宋" w:eastAsia="仿宋" w:cs="仿宋"/>
          <w:color w:val="auto"/>
          <w:kern w:val="0"/>
          <w:sz w:val="31"/>
          <w:szCs w:val="31"/>
        </w:rPr>
        <w:t>公务用车运行支出</w:t>
      </w:r>
      <w:r>
        <w:rPr>
          <w:rFonts w:ascii="仿宋" w:hAnsi="仿宋" w:eastAsia="仿宋" w:cs="仿宋"/>
          <w:color w:val="auto"/>
          <w:sz w:val="31"/>
          <w:u w:color="auto"/>
        </w:rPr>
        <w:t>0.00万元，完成年初预算的0%</w:t>
      </w:r>
      <w:r>
        <w:rPr>
          <w:rFonts w:hint="eastAsia" w:ascii="仿宋" w:hAnsi="仿宋" w:eastAsia="仿宋" w:cs="仿宋"/>
          <w:color w:val="auto"/>
          <w:kern w:val="0"/>
          <w:sz w:val="31"/>
          <w:szCs w:val="31"/>
        </w:rPr>
        <w:t>，比上年</w:t>
      </w:r>
      <w:r>
        <w:rPr>
          <w:rFonts w:ascii="仿宋" w:hAnsi="仿宋" w:eastAsia="仿宋" w:cs="仿宋"/>
          <w:color w:val="auto"/>
          <w:sz w:val="31"/>
          <w:u w:color="auto"/>
        </w:rPr>
        <w:t>增加0.00万元，</w:t>
      </w:r>
      <w:r>
        <w:rPr>
          <w:rFonts w:hint="eastAsia" w:ascii="仿宋" w:hAnsi="仿宋" w:eastAsia="仿宋" w:cs="仿宋"/>
          <w:color w:val="auto"/>
          <w:kern w:val="2"/>
          <w:sz w:val="31"/>
          <w:szCs w:val="31"/>
          <w:highlight w:val="none"/>
          <w:lang w:val="en-US" w:eastAsia="zh-CN" w:bidi="ar"/>
        </w:rPr>
        <w:t>无此类项目资金。</w:t>
      </w:r>
      <w:r>
        <w:rPr>
          <w:rFonts w:hint="eastAsia" w:ascii="仿宋" w:hAnsi="仿宋" w:eastAsia="仿宋" w:cs="仿宋"/>
          <w:color w:val="auto"/>
          <w:kern w:val="0"/>
          <w:sz w:val="31"/>
          <w:szCs w:val="31"/>
        </w:rPr>
        <w:t>主要用于机要文件交换、市内因公出行以及开</w:t>
      </w:r>
      <w:r>
        <w:rPr>
          <w:rFonts w:hint="eastAsia" w:ascii="仿宋" w:hAnsi="仿宋" w:eastAsia="仿宋" w:cs="仿宋"/>
          <w:color w:val="auto"/>
          <w:kern w:val="0"/>
          <w:sz w:val="31"/>
          <w:szCs w:val="31"/>
          <w:u w:val="single"/>
        </w:rPr>
        <w:t>展</w:t>
      </w:r>
      <w:r>
        <w:rPr>
          <w:rFonts w:hint="eastAsia" w:ascii="仿宋" w:hAnsi="仿宋" w:eastAsia="仿宋" w:cs="仿宋"/>
          <w:color w:val="auto"/>
          <w:kern w:val="0"/>
          <w:sz w:val="31"/>
          <w:szCs w:val="31"/>
          <w:u w:val="single"/>
          <w:lang w:val="en-US" w:eastAsia="zh-CN"/>
        </w:rPr>
        <w:t>0项</w:t>
      </w:r>
      <w:r>
        <w:rPr>
          <w:rFonts w:hint="eastAsia" w:ascii="仿宋" w:hAnsi="仿宋" w:eastAsia="仿宋" w:cs="仿宋"/>
          <w:color w:val="auto"/>
          <w:kern w:val="0"/>
          <w:sz w:val="31"/>
          <w:szCs w:val="31"/>
          <w:u w:val="single"/>
        </w:rPr>
        <w:t>业务</w:t>
      </w:r>
      <w:r>
        <w:rPr>
          <w:rFonts w:hint="eastAsia" w:ascii="仿宋" w:hAnsi="仿宋" w:eastAsia="仿宋" w:cs="仿宋"/>
          <w:color w:val="auto"/>
          <w:kern w:val="0"/>
          <w:sz w:val="31"/>
          <w:szCs w:val="31"/>
        </w:rPr>
        <w:t>所需车辆燃料费、维修费、过路过桥费、保险费等。2022年，</w:t>
      </w:r>
      <w:r>
        <w:rPr>
          <w:rFonts w:hint="eastAsia" w:ascii="仿宋" w:hAnsi="仿宋" w:eastAsia="仿宋" w:cs="仿宋"/>
          <w:color w:val="auto"/>
          <w:sz w:val="31"/>
          <w:szCs w:val="31"/>
          <w:u w:val="single"/>
          <w:shd w:val="clear" w:color="auto" w:fill="FFFFFF"/>
        </w:rPr>
        <w:t>百色市群众工作服务中心</w:t>
      </w:r>
      <w:r>
        <w:rPr>
          <w:rFonts w:hint="eastAsia" w:ascii="仿宋" w:hAnsi="仿宋" w:eastAsia="仿宋" w:cs="仿宋"/>
          <w:bCs/>
          <w:color w:val="auto"/>
          <w:sz w:val="31"/>
          <w:szCs w:val="31"/>
        </w:rPr>
        <w:t>、</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u w:val="single"/>
          <w:lang w:val="en-US" w:eastAsia="zh-CN"/>
        </w:rPr>
        <w:t>0</w:t>
      </w:r>
      <w:r>
        <w:rPr>
          <w:rFonts w:hint="eastAsia" w:ascii="仿宋" w:hAnsi="仿宋" w:eastAsia="仿宋" w:cs="仿宋"/>
          <w:bCs/>
          <w:color w:val="auto"/>
          <w:sz w:val="31"/>
          <w:szCs w:val="31"/>
          <w:u w:val="single"/>
        </w:rPr>
        <w:t xml:space="preserve"> </w:t>
      </w:r>
      <w:r>
        <w:rPr>
          <w:rFonts w:hint="eastAsia" w:ascii="仿宋" w:hAnsi="仿宋" w:eastAsia="仿宋" w:cs="仿宋"/>
          <w:bCs/>
          <w:color w:val="auto"/>
          <w:sz w:val="31"/>
          <w:szCs w:val="31"/>
          <w:u w:val="none"/>
        </w:rPr>
        <w:t>个所</w:t>
      </w:r>
      <w:r>
        <w:rPr>
          <w:rFonts w:hint="eastAsia" w:ascii="仿宋" w:hAnsi="仿宋" w:eastAsia="仿宋" w:cs="仿宋"/>
          <w:bCs/>
          <w:color w:val="auto"/>
          <w:sz w:val="31"/>
          <w:szCs w:val="31"/>
        </w:rPr>
        <w:t>属单位开支财政拨款的公务用车保有量为</w:t>
      </w:r>
      <w:r>
        <w:rPr>
          <w:rFonts w:hint="eastAsia" w:ascii="仿宋" w:hAnsi="仿宋" w:eastAsia="仿宋" w:cs="仿宋"/>
          <w:bCs/>
          <w:color w:val="auto"/>
          <w:sz w:val="31"/>
          <w:szCs w:val="31"/>
          <w:u w:val="single"/>
        </w:rPr>
        <w:t>0</w:t>
      </w:r>
      <w:r>
        <w:rPr>
          <w:rFonts w:hint="eastAsia" w:ascii="仿宋" w:hAnsi="仿宋" w:eastAsia="仿宋" w:cs="仿宋"/>
          <w:bCs/>
          <w:color w:val="auto"/>
          <w:sz w:val="31"/>
          <w:szCs w:val="31"/>
        </w:rPr>
        <w:t>辆，全年运行费支出</w:t>
      </w:r>
      <w:r>
        <w:rPr>
          <w:rFonts w:hint="eastAsia" w:ascii="仿宋" w:hAnsi="仿宋" w:eastAsia="仿宋" w:cs="仿宋"/>
          <w:color w:val="auto"/>
          <w:sz w:val="31"/>
          <w:szCs w:val="31"/>
        </w:rPr>
        <w:t>0.00</w:t>
      </w:r>
      <w:r>
        <w:rPr>
          <w:rFonts w:hint="eastAsia" w:ascii="仿宋" w:hAnsi="仿宋" w:eastAsia="仿宋" w:cs="仿宋"/>
          <w:bCs/>
          <w:color w:val="auto"/>
          <w:sz w:val="31"/>
          <w:szCs w:val="31"/>
        </w:rPr>
        <w:t>万元，</w:t>
      </w:r>
      <w:r>
        <w:rPr>
          <w:rFonts w:hint="eastAsia" w:ascii="仿宋" w:hAnsi="仿宋" w:eastAsia="仿宋" w:cs="仿宋"/>
          <w:color w:val="auto"/>
          <w:kern w:val="2"/>
          <w:sz w:val="31"/>
          <w:szCs w:val="31"/>
          <w:highlight w:val="none"/>
          <w:lang w:val="en-US" w:eastAsia="zh-CN" w:bidi="ar"/>
        </w:rPr>
        <w:t>无此类项目资金</w:t>
      </w:r>
      <w:r>
        <w:rPr>
          <w:rFonts w:hint="eastAsia" w:ascii="仿宋" w:hAnsi="仿宋" w:eastAsia="仿宋" w:cs="仿宋"/>
          <w:bCs/>
          <w:color w:val="auto"/>
          <w:sz w:val="31"/>
          <w:szCs w:val="31"/>
          <w:u w:val="none"/>
          <w:lang w:eastAsia="zh-CN"/>
        </w:rPr>
        <w:t>。</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（三）公务接待费支出</w:t>
      </w:r>
      <w:r>
        <w:rPr>
          <w:rFonts w:hint="eastAsia" w:ascii="仿宋" w:hAnsi="仿宋" w:eastAsia="仿宋" w:cs="仿宋"/>
          <w:color w:val="auto"/>
          <w:sz w:val="31"/>
          <w:szCs w:val="31"/>
        </w:rPr>
        <w:t>0.00</w:t>
      </w:r>
      <w:r>
        <w:rPr>
          <w:rFonts w:hint="eastAsia" w:ascii="仿宋" w:hAnsi="仿宋" w:eastAsia="仿宋" w:cs="仿宋"/>
          <w:color w:val="auto"/>
          <w:kern w:val="0"/>
          <w:sz w:val="31"/>
          <w:szCs w:val="31"/>
        </w:rPr>
        <w:t>万元，完成年初预算的</w:t>
      </w:r>
      <w:r>
        <w:rPr>
          <w:rFonts w:hint="eastAsia" w:ascii="仿宋" w:hAnsi="仿宋" w:eastAsia="仿宋" w:cs="仿宋"/>
          <w:color w:val="auto"/>
          <w:sz w:val="31"/>
          <w:szCs w:val="31"/>
        </w:rPr>
        <w:t>0%</w:t>
      </w:r>
      <w:r>
        <w:rPr>
          <w:rFonts w:hint="eastAsia" w:ascii="仿宋" w:hAnsi="仿宋" w:eastAsia="仿宋" w:cs="仿宋"/>
          <w:color w:val="auto"/>
          <w:kern w:val="0"/>
          <w:sz w:val="31"/>
          <w:szCs w:val="31"/>
        </w:rPr>
        <w:t>， 比上年</w:t>
      </w:r>
      <w:r>
        <w:rPr>
          <w:rFonts w:hint="eastAsia" w:ascii="仿宋" w:hAnsi="仿宋" w:eastAsia="仿宋" w:cs="仿宋"/>
          <w:color w:val="auto"/>
          <w:sz w:val="31"/>
          <w:szCs w:val="31"/>
        </w:rPr>
        <w:t>增加0.00</w:t>
      </w:r>
      <w:r>
        <w:rPr>
          <w:rFonts w:hint="eastAsia" w:ascii="仿宋" w:hAnsi="仿宋" w:eastAsia="仿宋" w:cs="仿宋"/>
          <w:color w:val="auto"/>
          <w:kern w:val="0"/>
          <w:sz w:val="31"/>
          <w:szCs w:val="31"/>
        </w:rPr>
        <w:t>万元，</w:t>
      </w:r>
      <w:r>
        <w:rPr>
          <w:rFonts w:hint="eastAsia" w:ascii="仿宋" w:hAnsi="仿宋" w:eastAsia="仿宋" w:cs="仿宋"/>
          <w:color w:val="auto"/>
          <w:kern w:val="2"/>
          <w:sz w:val="31"/>
          <w:szCs w:val="31"/>
          <w:highlight w:val="none"/>
          <w:lang w:val="en-US" w:eastAsia="zh-CN" w:bidi="ar"/>
        </w:rPr>
        <w:t>无此类项目资金。</w:t>
      </w:r>
      <w:r>
        <w:rPr>
          <w:rFonts w:hint="eastAsia" w:ascii="仿宋" w:hAnsi="仿宋" w:eastAsia="仿宋" w:cs="仿宋"/>
          <w:color w:val="auto"/>
          <w:kern w:val="0"/>
          <w:sz w:val="31"/>
          <w:szCs w:val="31"/>
        </w:rPr>
        <w:t>国内公务接待批次</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次，人次</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次，国（境）外公务接待批次</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次，人次</w:t>
      </w:r>
      <w:r>
        <w:rPr>
          <w:rFonts w:hint="eastAsia" w:ascii="仿宋" w:hAnsi="仿宋" w:eastAsia="仿宋" w:cs="仿宋"/>
          <w:color w:val="auto"/>
          <w:kern w:val="0"/>
          <w:sz w:val="31"/>
          <w:szCs w:val="31"/>
          <w:u w:val="single"/>
        </w:rPr>
        <w:t xml:space="preserve"> </w:t>
      </w:r>
      <w:bookmarkStart w:id="2" w:name="_Hlk145513101"/>
      <w:r>
        <w:rPr>
          <w:rFonts w:hint="eastAsia" w:ascii="仿宋" w:hAnsi="仿宋" w:eastAsia="仿宋" w:cs="仿宋"/>
          <w:color w:val="auto"/>
          <w:kern w:val="0"/>
          <w:sz w:val="31"/>
          <w:szCs w:val="31"/>
          <w:u w:val="single"/>
        </w:rPr>
        <w:t>0</w:t>
      </w:r>
      <w:bookmarkEnd w:id="2"/>
      <w:r>
        <w:rPr>
          <w:rFonts w:hint="eastAsia" w:ascii="仿宋" w:hAnsi="仿宋" w:eastAsia="仿宋" w:cs="仿宋"/>
          <w:color w:val="auto"/>
          <w:kern w:val="0"/>
          <w:sz w:val="31"/>
          <w:szCs w:val="31"/>
        </w:rPr>
        <w:t>次。其中：</w:t>
      </w:r>
    </w:p>
    <w:p>
      <w:pPr>
        <w:autoSpaceDE w:val="0"/>
        <w:autoSpaceDN w:val="0"/>
        <w:adjustRightInd w:val="0"/>
        <w:spacing w:line="560" w:lineRule="exact"/>
        <w:ind w:firstLine="607" w:firstLineChars="196"/>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kern w:val="2"/>
          <w:sz w:val="31"/>
          <w:szCs w:val="31"/>
          <w:highlight w:val="none"/>
          <w:lang w:val="en-US" w:eastAsia="zh-CN" w:bidi="ar"/>
        </w:rPr>
        <w:t>本年无此类项目资金。</w:t>
      </w:r>
    </w:p>
    <w:p>
      <w:pPr>
        <w:autoSpaceDE w:val="0"/>
        <w:autoSpaceDN w:val="0"/>
        <w:adjustRightInd w:val="0"/>
        <w:spacing w:line="560" w:lineRule="exact"/>
        <w:ind w:firstLine="627" w:firstLineChars="196"/>
        <w:jc w:val="left"/>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七、其他重要事项情况说明</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（一）</w:t>
      </w:r>
      <w:r>
        <w:rPr>
          <w:rFonts w:hint="eastAsia" w:ascii="仿宋" w:hAnsi="仿宋" w:eastAsia="仿宋" w:cs="仿宋"/>
          <w:color w:val="auto"/>
          <w:sz w:val="31"/>
          <w:szCs w:val="31"/>
        </w:rPr>
        <w:t xml:space="preserve"> </w:t>
      </w:r>
      <w:r>
        <w:rPr>
          <w:rFonts w:hint="eastAsia" w:ascii="仿宋" w:hAnsi="仿宋" w:eastAsia="仿宋" w:cs="仿宋"/>
          <w:color w:val="auto"/>
          <w:kern w:val="0"/>
          <w:sz w:val="31"/>
          <w:szCs w:val="31"/>
        </w:rPr>
        <w:t>机关运行经费支出情况说明</w:t>
      </w:r>
    </w:p>
    <w:p>
      <w:pPr>
        <w:autoSpaceDE w:val="0"/>
        <w:autoSpaceDN w:val="0"/>
        <w:adjustRightInd w:val="0"/>
        <w:spacing w:line="560" w:lineRule="exact"/>
        <w:ind w:firstLine="620" w:firstLineChars="200"/>
        <w:jc w:val="left"/>
        <w:rPr>
          <w:rFonts w:hint="default" w:ascii="仿宋" w:hAnsi="仿宋" w:eastAsia="仿宋" w:cs="仿宋"/>
          <w:color w:val="auto"/>
          <w:kern w:val="0"/>
          <w:sz w:val="31"/>
          <w:szCs w:val="31"/>
          <w:lang w:val="en-US"/>
        </w:rPr>
      </w:pPr>
      <w:r>
        <w:rPr>
          <w:rFonts w:hint="eastAsia" w:ascii="仿宋" w:hAnsi="仿宋" w:eastAsia="仿宋" w:cs="仿宋"/>
          <w:color w:val="auto"/>
          <w:kern w:val="0"/>
          <w:sz w:val="31"/>
          <w:szCs w:val="31"/>
        </w:rPr>
        <w:t>本部门2022年度机关运行经费支出</w:t>
      </w:r>
      <w:r>
        <w:rPr>
          <w:rFonts w:ascii="仿宋" w:hAnsi="仿宋" w:eastAsia="仿宋" w:cs="仿宋"/>
          <w:color w:val="auto"/>
          <w:sz w:val="31"/>
          <w:u w:color="auto"/>
        </w:rPr>
        <w:t>0.00</w:t>
      </w:r>
      <w:r>
        <w:rPr>
          <w:rFonts w:hint="eastAsia" w:ascii="仿宋" w:hAnsi="仿宋" w:eastAsia="仿宋" w:cs="仿宋"/>
          <w:color w:val="auto"/>
          <w:kern w:val="0"/>
          <w:sz w:val="31"/>
          <w:szCs w:val="31"/>
        </w:rPr>
        <w:t>万元（与部门决算中行政单位和参照公务员法管理事业单位一般公共预算财政拨款基本支出中公用经费之和一致），比年初预算数</w:t>
      </w:r>
      <w:r>
        <w:rPr>
          <w:rFonts w:ascii="仿宋" w:hAnsi="仿宋" w:eastAsia="仿宋" w:cs="仿宋"/>
          <w:color w:val="auto"/>
          <w:sz w:val="31"/>
          <w:u w:color="auto"/>
        </w:rPr>
        <w:t>减少10.8万元，下降100%，比</w:t>
      </w:r>
      <w:r>
        <w:rPr>
          <w:rFonts w:hint="eastAsia" w:ascii="仿宋" w:hAnsi="仿宋" w:eastAsia="仿宋" w:cs="仿宋"/>
          <w:color w:val="auto"/>
          <w:kern w:val="0"/>
          <w:sz w:val="31"/>
          <w:szCs w:val="31"/>
          <w:lang w:val="en-US" w:eastAsia="zh-CN"/>
        </w:rPr>
        <w:t>2021</w:t>
      </w:r>
      <w:r>
        <w:rPr>
          <w:rFonts w:hint="eastAsia" w:ascii="仿宋" w:hAnsi="仿宋" w:eastAsia="仿宋" w:cs="仿宋"/>
          <w:color w:val="auto"/>
          <w:kern w:val="0"/>
          <w:sz w:val="31"/>
          <w:szCs w:val="31"/>
        </w:rPr>
        <w:t>年决算数</w:t>
      </w:r>
      <w:r>
        <w:rPr>
          <w:rFonts w:ascii="仿宋" w:hAnsi="仿宋" w:eastAsia="仿宋" w:cs="仿宋"/>
          <w:color w:val="auto"/>
          <w:sz w:val="31"/>
          <w:u w:color="auto"/>
        </w:rPr>
        <w:t>增加0.00万元，增长0%。</w:t>
      </w:r>
      <w:r>
        <w:rPr>
          <w:rFonts w:hint="eastAsia" w:ascii="仿宋" w:hAnsi="仿宋" w:eastAsia="仿宋" w:cs="仿宋"/>
          <w:color w:val="auto"/>
          <w:kern w:val="2"/>
          <w:sz w:val="31"/>
          <w:szCs w:val="31"/>
          <w:highlight w:val="none"/>
          <w:lang w:val="en-US" w:eastAsia="zh-CN" w:bidi="ar"/>
        </w:rPr>
        <w:t>原因是：事业单位无机关运行经费。</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（二）政府采购支出情况说明</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本部门2022年度政府采购支出总额</w:t>
      </w:r>
      <w:r>
        <w:rPr>
          <w:rFonts w:ascii="仿宋" w:hAnsi="仿宋" w:eastAsia="仿宋" w:cs="仿宋"/>
          <w:color w:val="auto"/>
          <w:sz w:val="31"/>
          <w:u w:color="auto"/>
        </w:rPr>
        <w:t>0.00万元，其中：政府采购货物支出0.00万元、政府采购工程支出0.00万元、政府采购服务支出0.00万元，（口径参见部门决算F03表《机构运行信息表》中政府采购相关数据）。授予中小企业合同金额0.00万元，占政府采购支出总额的0%，其中：授予小微企业合同金额0.00万元，占授予中小企业合同金额的0%。</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（三）国有资产占用情况说明</w:t>
      </w:r>
    </w:p>
    <w:p>
      <w:pPr>
        <w:autoSpaceDE w:val="0"/>
        <w:autoSpaceDN w:val="0"/>
        <w:adjustRightInd w:val="0"/>
        <w:spacing w:line="560" w:lineRule="exact"/>
        <w:ind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rPr>
        <w:t>截至2022年12月31日，本部门共有车辆</w:t>
      </w:r>
      <w:r>
        <w:rPr>
          <w:rFonts w:ascii="仿宋" w:hAnsi="仿宋" w:eastAsia="仿宋" w:cs="仿宋"/>
          <w:color w:val="auto"/>
          <w:sz w:val="31"/>
          <w:u w:color="auto"/>
        </w:rPr>
        <w:t>0辆，其中：副部（省）级领导干部用车</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辆、机要通信用车</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辆、应急保障用车</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辆、执法执勤用车</w:t>
      </w:r>
      <w:bookmarkStart w:id="3" w:name="_Hlk145513911"/>
      <w:r>
        <w:rPr>
          <w:rFonts w:hint="eastAsia" w:ascii="仿宋" w:hAnsi="仿宋" w:eastAsia="仿宋" w:cs="仿宋"/>
          <w:color w:val="auto"/>
          <w:kern w:val="0"/>
          <w:sz w:val="31"/>
          <w:szCs w:val="31"/>
          <w:u w:val="single"/>
        </w:rPr>
        <w:t>0</w:t>
      </w:r>
      <w:bookmarkEnd w:id="3"/>
      <w:r>
        <w:rPr>
          <w:rFonts w:hint="eastAsia" w:ascii="仿宋" w:hAnsi="仿宋" w:eastAsia="仿宋" w:cs="仿宋"/>
          <w:color w:val="auto"/>
          <w:kern w:val="0"/>
          <w:sz w:val="31"/>
          <w:szCs w:val="31"/>
        </w:rPr>
        <w:t>辆、特种专业技术用车</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辆、其他用车</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辆，其他用车主要是……；单位价值50万元以上通用设备</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台（套）；单位价值100万元以上专用设备</w:t>
      </w:r>
      <w:r>
        <w:rPr>
          <w:rFonts w:hint="eastAsia" w:ascii="仿宋" w:hAnsi="仿宋" w:eastAsia="仿宋" w:cs="仿宋"/>
          <w:color w:val="auto"/>
          <w:kern w:val="0"/>
          <w:sz w:val="31"/>
          <w:szCs w:val="31"/>
          <w:u w:val="single"/>
        </w:rPr>
        <w:t>0</w:t>
      </w:r>
      <w:r>
        <w:rPr>
          <w:rFonts w:hint="eastAsia" w:ascii="仿宋" w:hAnsi="仿宋" w:eastAsia="仿宋" w:cs="仿宋"/>
          <w:color w:val="auto"/>
          <w:kern w:val="0"/>
          <w:sz w:val="31"/>
          <w:szCs w:val="31"/>
        </w:rPr>
        <w:t>台（套）。</w:t>
      </w:r>
    </w:p>
    <w:p>
      <w:pPr>
        <w:pStyle w:val="6"/>
        <w:widowControl/>
        <w:spacing w:before="196" w:beforeAutospacing="0" w:after="196" w:afterAutospacing="0" w:line="540" w:lineRule="atLeast"/>
        <w:ind w:firstLine="420"/>
        <w:jc w:val="both"/>
        <w:rPr>
          <w:rFonts w:ascii="黑体" w:hAnsi="黑体" w:eastAsia="黑体" w:cs="黑体"/>
          <w:color w:val="auto"/>
          <w:sz w:val="32"/>
          <w:szCs w:val="32"/>
        </w:rPr>
      </w:pPr>
      <w:r>
        <w:rPr>
          <w:rFonts w:hint="eastAsia" w:ascii="黑体" w:hAnsi="黑体" w:eastAsia="黑体" w:cs="黑体"/>
          <w:color w:val="auto"/>
          <w:sz w:val="32"/>
          <w:szCs w:val="32"/>
          <w:shd w:val="clear" w:color="auto" w:fill="FFFFFF"/>
        </w:rPr>
        <w:t>八、预算绩效管理工作开展情况。</w:t>
      </w:r>
    </w:p>
    <w:p>
      <w:pPr>
        <w:spacing w:line="360" w:lineRule="auto"/>
        <w:ind w:firstLine="56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（一）绩效管理工作开展情况。</w:t>
      </w:r>
    </w:p>
    <w:p>
      <w:pPr>
        <w:keepNext w:val="0"/>
        <w:keepLines w:val="0"/>
        <w:widowControl w:val="0"/>
        <w:suppressLineNumbers w:val="0"/>
        <w:autoSpaceDE w:val="0"/>
        <w:autoSpaceDN w:val="0"/>
        <w:adjustRightInd w:val="0"/>
        <w:spacing w:before="0" w:beforeAutospacing="0" w:after="0" w:afterAutospacing="0" w:line="560" w:lineRule="exact"/>
        <w:ind w:left="0" w:right="0"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根据财政预算管理要求，本部门组织对2022年度预算项目支出全面开展绩效自评。2022年共开展预算项目自评0个,共涉及资金0.00万元,自评覆盖率达到0%。</w:t>
      </w:r>
    </w:p>
    <w:p>
      <w:pPr>
        <w:keepNext w:val="0"/>
        <w:keepLines w:val="0"/>
        <w:widowControl w:val="0"/>
        <w:suppressLineNumbers w:val="0"/>
        <w:autoSpaceDE w:val="0"/>
        <w:autoSpaceDN w:val="0"/>
        <w:adjustRightInd w:val="0"/>
        <w:spacing w:before="0" w:beforeAutospacing="0" w:after="0" w:afterAutospacing="0" w:line="560" w:lineRule="exact"/>
        <w:ind w:left="0" w:right="0" w:firstLine="620" w:firstLineChars="20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共组织对“无”等0个项目进行了绩效评价，涉及预算支出0.00万元。从评价情况来看，无项目资金。</w:t>
      </w:r>
    </w:p>
    <w:p>
      <w:pPr>
        <w:keepNext w:val="0"/>
        <w:keepLines w:val="0"/>
        <w:widowControl w:val="0"/>
        <w:suppressLineNumbers w:val="0"/>
        <w:autoSpaceDE w:val="0"/>
        <w:autoSpaceDN w:val="0"/>
        <w:adjustRightInd w:val="0"/>
        <w:spacing w:before="0" w:beforeAutospacing="0" w:after="0" w:afterAutospacing="0" w:line="560" w:lineRule="exact"/>
        <w:ind w:left="0" w:right="0" w:firstLine="620" w:firstLineChars="200"/>
        <w:jc w:val="left"/>
        <w:rPr>
          <w:rFonts w:hint="default" w:ascii="仿宋" w:hAnsi="仿宋" w:eastAsia="仿宋" w:cs="仿宋"/>
          <w:color w:val="auto"/>
          <w:kern w:val="0"/>
          <w:sz w:val="31"/>
          <w:szCs w:val="31"/>
          <w:lang w:val="en-US" w:eastAsia="zh-CN" w:bidi="ar"/>
        </w:rPr>
      </w:pPr>
      <w:r>
        <w:rPr>
          <w:rFonts w:hint="eastAsia" w:ascii="仿宋" w:hAnsi="仿宋" w:eastAsia="仿宋" w:cs="仿宋"/>
          <w:color w:val="auto"/>
          <w:kern w:val="0"/>
          <w:sz w:val="31"/>
          <w:szCs w:val="31"/>
          <w:lang w:val="en-US" w:eastAsia="zh-CN" w:bidi="ar"/>
        </w:rPr>
        <w:t>组织对本部门及0个（单位）开展整体支出绩效自评，涉及一般公共预算支出0.00万元。从评价情况来看，无项目资金。</w:t>
      </w:r>
    </w:p>
    <w:p>
      <w:pPr>
        <w:keepNext w:val="0"/>
        <w:keepLines w:val="0"/>
        <w:widowControl w:val="0"/>
        <w:suppressLineNumbers w:val="0"/>
        <w:autoSpaceDE w:val="0"/>
        <w:autoSpaceDN w:val="0"/>
        <w:adjustRightInd w:val="0"/>
        <w:spacing w:before="0" w:beforeAutospacing="0" w:after="0" w:afterAutospacing="0" w:line="560" w:lineRule="exact"/>
        <w:ind w:left="0" w:right="0" w:firstLine="622" w:firstLineChars="200"/>
        <w:jc w:val="left"/>
        <w:rPr>
          <w:rFonts w:hint="default" w:ascii="仿宋_GB2312" w:hAnsi="Times New Roman" w:eastAsia="仿宋_GB2312" w:cs="仿宋_GB2312"/>
          <w:b/>
          <w:bCs/>
          <w:color w:val="auto"/>
          <w:kern w:val="0"/>
          <w:sz w:val="32"/>
          <w:szCs w:val="32"/>
        </w:rPr>
      </w:pPr>
      <w:r>
        <w:rPr>
          <w:rFonts w:hint="eastAsia" w:ascii="仿宋" w:hAnsi="仿宋" w:eastAsia="仿宋" w:cs="仿宋"/>
          <w:b/>
          <w:bCs/>
          <w:color w:val="auto"/>
          <w:kern w:val="0"/>
          <w:sz w:val="31"/>
          <w:szCs w:val="31"/>
          <w:lang w:val="en-US" w:eastAsia="zh-CN" w:bidi="ar"/>
        </w:rPr>
        <w:t>2022年中心无项目资金，无需开展绩效自评。</w:t>
      </w:r>
    </w:p>
    <w:p>
      <w:pPr>
        <w:spacing w:line="360" w:lineRule="auto"/>
        <w:ind w:firstLine="560"/>
        <w:jc w:val="left"/>
        <w:rPr>
          <w:rFonts w:hint="eastAsia" w:ascii="仿宋" w:hAnsi="仿宋" w:eastAsia="仿宋" w:cs="仿宋"/>
          <w:color w:val="auto"/>
          <w:sz w:val="31"/>
          <w:szCs w:val="31"/>
          <w:shd w:val="clear" w:color="auto" w:fill="FFFFFF"/>
        </w:rPr>
      </w:pPr>
      <w:r>
        <w:rPr>
          <w:rFonts w:hint="eastAsia" w:ascii="仿宋" w:hAnsi="仿宋" w:eastAsia="仿宋" w:cs="仿宋"/>
          <w:color w:val="auto"/>
          <w:sz w:val="31"/>
          <w:szCs w:val="31"/>
          <w:shd w:val="clear" w:color="auto" w:fill="FFFFFF"/>
        </w:rPr>
        <w:t>（二）部门决算中项目绩效自评结果。</w:t>
      </w:r>
    </w:p>
    <w:p>
      <w:pPr>
        <w:ind w:firstLine="620" w:firstLineChars="200"/>
        <w:jc w:val="left"/>
        <w:rPr>
          <w:rFonts w:hint="eastAsia" w:ascii="仿宋" w:hAnsi="仿宋" w:eastAsia="仿宋" w:cs="仿宋"/>
          <w:color w:val="auto"/>
          <w:kern w:val="2"/>
          <w:sz w:val="31"/>
          <w:szCs w:val="31"/>
          <w:highlight w:val="none"/>
          <w:lang w:val="en-US" w:eastAsia="zh-CN" w:bidi="ar"/>
        </w:rPr>
      </w:pPr>
      <w:r>
        <w:rPr>
          <w:rFonts w:hint="eastAsia" w:ascii="仿宋" w:hAnsi="仿宋" w:eastAsia="仿宋" w:cs="仿宋"/>
          <w:color w:val="auto"/>
          <w:sz w:val="31"/>
          <w:szCs w:val="31"/>
          <w:highlight w:val="none"/>
        </w:rPr>
        <w:t>我部门根据年初设定的绩效目标，</w:t>
      </w:r>
      <w:r>
        <w:rPr>
          <w:rFonts w:hint="eastAsia" w:ascii="仿宋" w:hAnsi="仿宋" w:eastAsia="仿宋" w:cs="仿宋"/>
          <w:color w:val="auto"/>
          <w:sz w:val="31"/>
          <w:szCs w:val="31"/>
          <w:highlight w:val="none"/>
          <w:lang w:val="en-US" w:eastAsia="zh-CN"/>
        </w:rPr>
        <w:t>0</w:t>
      </w:r>
      <w:r>
        <w:rPr>
          <w:rFonts w:hint="eastAsia" w:ascii="仿宋" w:hAnsi="仿宋" w:eastAsia="仿宋" w:cs="仿宋"/>
          <w:color w:val="auto"/>
          <w:sz w:val="31"/>
          <w:szCs w:val="31"/>
          <w:highlight w:val="none"/>
        </w:rPr>
        <w:t>项目自评</w:t>
      </w:r>
      <w:r>
        <w:rPr>
          <w:rFonts w:hint="eastAsia" w:ascii="仿宋" w:hAnsi="仿宋" w:eastAsia="仿宋" w:cs="仿宋"/>
          <w:color w:val="auto"/>
          <w:sz w:val="31"/>
          <w:szCs w:val="31"/>
          <w:highlight w:val="none"/>
          <w:lang w:val="en-US" w:eastAsia="zh-CN"/>
        </w:rPr>
        <w:t>0</w:t>
      </w:r>
      <w:r>
        <w:rPr>
          <w:rFonts w:hint="eastAsia" w:ascii="仿宋" w:hAnsi="仿宋" w:eastAsia="仿宋" w:cs="仿宋"/>
          <w:color w:val="auto"/>
          <w:sz w:val="31"/>
          <w:szCs w:val="31"/>
          <w:highlight w:val="none"/>
        </w:rPr>
        <w:t>分</w:t>
      </w:r>
      <w:r>
        <w:rPr>
          <w:rFonts w:hint="eastAsia" w:ascii="仿宋" w:hAnsi="仿宋" w:eastAsia="仿宋" w:cs="仿宋"/>
          <w:color w:val="auto"/>
          <w:sz w:val="31"/>
          <w:szCs w:val="31"/>
          <w:highlight w:val="none"/>
        </w:rPr>
        <w:t>，项目全年预算数为</w:t>
      </w:r>
      <w:r>
        <w:rPr>
          <w:rFonts w:hint="eastAsia" w:ascii="仿宋" w:hAnsi="仿宋" w:eastAsia="仿宋" w:cs="仿宋"/>
          <w:color w:val="auto"/>
          <w:sz w:val="31"/>
          <w:szCs w:val="31"/>
          <w:highlight w:val="none"/>
          <w:lang w:val="en-US" w:eastAsia="zh-CN"/>
        </w:rPr>
        <w:t>0.00</w:t>
      </w:r>
      <w:r>
        <w:rPr>
          <w:rFonts w:hint="eastAsia" w:ascii="仿宋" w:hAnsi="仿宋" w:eastAsia="仿宋" w:cs="仿宋"/>
          <w:color w:val="auto"/>
          <w:sz w:val="31"/>
          <w:szCs w:val="31"/>
          <w:highlight w:val="none"/>
        </w:rPr>
        <w:t>万元，执行数为</w:t>
      </w:r>
      <w:r>
        <w:rPr>
          <w:rFonts w:hint="eastAsia" w:ascii="仿宋" w:hAnsi="仿宋" w:eastAsia="仿宋" w:cs="仿宋"/>
          <w:color w:val="auto"/>
          <w:sz w:val="31"/>
          <w:szCs w:val="31"/>
          <w:highlight w:val="none"/>
          <w:lang w:val="en-US" w:eastAsia="zh-CN"/>
        </w:rPr>
        <w:t>0</w:t>
      </w:r>
      <w:r>
        <w:rPr>
          <w:rFonts w:hint="eastAsia" w:ascii="仿宋" w:hAnsi="仿宋" w:eastAsia="仿宋" w:cs="仿宋"/>
          <w:color w:val="auto"/>
          <w:sz w:val="31"/>
          <w:szCs w:val="31"/>
          <w:highlight w:val="none"/>
        </w:rPr>
        <w:t>万元</w:t>
      </w:r>
      <w:r>
        <w:rPr>
          <w:rFonts w:hint="eastAsia" w:ascii="仿宋" w:hAnsi="仿宋" w:eastAsia="仿宋" w:cs="仿宋"/>
          <w:color w:val="auto"/>
          <w:sz w:val="31"/>
          <w:szCs w:val="31"/>
          <w:highlight w:val="none"/>
        </w:rPr>
        <w:t>，完成预算的</w:t>
      </w:r>
      <w:r>
        <w:rPr>
          <w:rFonts w:hint="eastAsia" w:ascii="仿宋" w:hAnsi="仿宋" w:eastAsia="仿宋" w:cs="仿宋"/>
          <w:color w:val="auto"/>
          <w:sz w:val="31"/>
          <w:szCs w:val="31"/>
          <w:highlight w:val="none"/>
          <w:lang w:val="en-US" w:eastAsia="zh-CN"/>
        </w:rPr>
        <w:t>0</w:t>
      </w:r>
      <w:r>
        <w:rPr>
          <w:rFonts w:hint="eastAsia" w:ascii="仿宋" w:hAnsi="仿宋" w:eastAsia="仿宋" w:cs="仿宋"/>
          <w:color w:val="auto"/>
          <w:sz w:val="31"/>
          <w:szCs w:val="31"/>
          <w:highlight w:val="none"/>
        </w:rPr>
        <w:t>%</w:t>
      </w:r>
      <w:r>
        <w:rPr>
          <w:rFonts w:hint="eastAsia" w:ascii="仿宋" w:hAnsi="仿宋" w:eastAsia="仿宋" w:cs="仿宋"/>
          <w:color w:val="auto"/>
          <w:sz w:val="31"/>
          <w:szCs w:val="31"/>
          <w:highlight w:val="none"/>
        </w:rPr>
        <w:t>。</w:t>
      </w:r>
    </w:p>
    <w:p>
      <w:pPr>
        <w:keepNext w:val="0"/>
        <w:keepLines w:val="0"/>
        <w:widowControl w:val="0"/>
        <w:suppressLineNumbers w:val="0"/>
        <w:autoSpaceDE w:val="0"/>
        <w:autoSpaceDN w:val="0"/>
        <w:adjustRightInd w:val="0"/>
        <w:spacing w:before="0" w:beforeAutospacing="0" w:after="0" w:afterAutospacing="0" w:line="560" w:lineRule="exact"/>
        <w:ind w:left="0" w:right="0" w:firstLine="622" w:firstLineChars="200"/>
        <w:jc w:val="left"/>
        <w:rPr>
          <w:rFonts w:hint="default" w:ascii="仿宋_GB2312" w:hAnsi="Times New Roman" w:eastAsia="仿宋_GB2312" w:cs="仿宋_GB2312"/>
          <w:b/>
          <w:bCs/>
          <w:color w:val="auto"/>
          <w:kern w:val="0"/>
          <w:sz w:val="32"/>
          <w:szCs w:val="32"/>
        </w:rPr>
      </w:pPr>
      <w:r>
        <w:rPr>
          <w:rFonts w:hint="eastAsia" w:ascii="仿宋" w:hAnsi="仿宋" w:eastAsia="仿宋" w:cs="仿宋"/>
          <w:b/>
          <w:bCs/>
          <w:color w:val="auto"/>
          <w:kern w:val="0"/>
          <w:sz w:val="31"/>
          <w:szCs w:val="31"/>
          <w:lang w:val="en-US" w:eastAsia="zh-CN" w:bidi="ar"/>
        </w:rPr>
        <w:t>2022年中心无项目资金，无需开展项目绩效自评。</w:t>
      </w:r>
    </w:p>
    <w:tbl>
      <w:tblPr>
        <w:tblStyle w:val="7"/>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55"/>
        <w:gridCol w:w="1795"/>
        <w:gridCol w:w="1560"/>
        <w:gridCol w:w="1574"/>
        <w:gridCol w:w="1786"/>
        <w:gridCol w:w="10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序号</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项目名称</w:t>
            </w: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自评得分</w:t>
            </w: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自评结论（等级）</w:t>
            </w:r>
          </w:p>
        </w:tc>
        <w:tc>
          <w:tcPr>
            <w:tcW w:w="1786"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主要原因分析</w:t>
            </w:r>
          </w:p>
        </w:tc>
        <w:tc>
          <w:tcPr>
            <w:tcW w:w="1058"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1</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786"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058" w:type="dxa"/>
            <w:vMerge w:val="restart"/>
            <w:tcBorders>
              <w:top w:val="nil"/>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详见相应项目绩效自评表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2</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786"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058" w:type="dxa"/>
            <w:vMerge w:val="continue"/>
            <w:tcBorders>
              <w:top w:val="nil"/>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rPr>
                <w:rFonts w:hint="eastAsia" w:ascii="仿宋" w:hAnsi="仿宋" w:eastAsia="仿宋" w:cs="仿宋"/>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3</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786"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058" w:type="dxa"/>
            <w:vMerge w:val="continue"/>
            <w:tcBorders>
              <w:top w:val="nil"/>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rPr>
                <w:rFonts w:hint="eastAsia" w:ascii="仿宋" w:hAnsi="仿宋" w:eastAsia="仿宋" w:cs="仿宋"/>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4</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786"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058" w:type="dxa"/>
            <w:vMerge w:val="continue"/>
            <w:tcBorders>
              <w:top w:val="nil"/>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rPr>
                <w:rFonts w:hint="eastAsia" w:ascii="仿宋" w:hAnsi="仿宋" w:eastAsia="仿宋" w:cs="仿宋"/>
                <w:color w:val="auto"/>
                <w:sz w:val="31"/>
                <w:szCs w:val="3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5"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r>
              <w:rPr>
                <w:rFonts w:hint="eastAsia" w:ascii="仿宋" w:hAnsi="仿宋" w:eastAsia="仿宋" w:cs="仿宋"/>
                <w:color w:val="auto"/>
                <w:kern w:val="0"/>
                <w:sz w:val="31"/>
                <w:szCs w:val="31"/>
                <w:lang w:val="en-US" w:eastAsia="zh-CN" w:bidi="ar"/>
              </w:rPr>
              <w:t>...</w:t>
            </w:r>
          </w:p>
        </w:tc>
        <w:tc>
          <w:tcPr>
            <w:tcW w:w="1795"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60"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574"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786" w:type="dxa"/>
            <w:tcBorders>
              <w:top w:val="single" w:color="auto" w:sz="4" w:space="0"/>
              <w:left w:val="nil"/>
              <w:bottom w:val="single" w:color="auto" w:sz="4" w:space="0"/>
              <w:right w:val="single" w:color="auto" w:sz="4" w:space="0"/>
            </w:tcBorders>
            <w:shd w:val="clear" w:color="auto" w:fill="auto"/>
            <w:vAlign w:val="top"/>
          </w:tcPr>
          <w:p>
            <w:pPr>
              <w:keepNext w:val="0"/>
              <w:keepLines w:val="0"/>
              <w:widowControl w:val="0"/>
              <w:suppressLineNumbers w:val="0"/>
              <w:autoSpaceDE w:val="0"/>
              <w:autoSpaceDN w:val="0"/>
              <w:adjustRightInd w:val="0"/>
              <w:spacing w:before="0" w:beforeAutospacing="0" w:after="0" w:afterAutospacing="0" w:line="560" w:lineRule="exact"/>
              <w:ind w:left="0" w:right="0"/>
              <w:jc w:val="left"/>
              <w:rPr>
                <w:rFonts w:hint="eastAsia" w:ascii="仿宋" w:hAnsi="仿宋" w:eastAsia="仿宋" w:cs="仿宋"/>
                <w:color w:val="auto"/>
                <w:kern w:val="0"/>
                <w:sz w:val="31"/>
                <w:szCs w:val="31"/>
              </w:rPr>
            </w:pPr>
          </w:p>
        </w:tc>
        <w:tc>
          <w:tcPr>
            <w:tcW w:w="1058" w:type="dxa"/>
            <w:vMerge w:val="continue"/>
            <w:tcBorders>
              <w:top w:val="nil"/>
              <w:left w:val="nil"/>
              <w:bottom w:val="single" w:color="auto" w:sz="4" w:space="0"/>
              <w:right w:val="single" w:color="auto" w:sz="4" w:space="0"/>
            </w:tcBorders>
            <w:shd w:val="clear" w:color="auto" w:fill="auto"/>
            <w:vAlign w:val="top"/>
          </w:tcPr>
          <w:p>
            <w:pPr>
              <w:keepNext w:val="0"/>
              <w:keepLines w:val="0"/>
              <w:suppressLineNumbers w:val="0"/>
              <w:spacing w:before="0" w:beforeAutospacing="0" w:after="0" w:afterAutospacing="0"/>
              <w:ind w:left="0" w:right="0"/>
              <w:rPr>
                <w:rFonts w:hint="eastAsia" w:ascii="仿宋" w:hAnsi="仿宋" w:eastAsia="仿宋" w:cs="仿宋"/>
                <w:color w:val="auto"/>
                <w:sz w:val="31"/>
                <w:szCs w:val="31"/>
              </w:rPr>
            </w:pPr>
          </w:p>
        </w:tc>
      </w:tr>
    </w:tbl>
    <w:p>
      <w:pPr>
        <w:autoSpaceDE w:val="0"/>
        <w:autoSpaceDN w:val="0"/>
        <w:adjustRightInd w:val="0"/>
        <w:spacing w:line="560" w:lineRule="exact"/>
        <w:jc w:val="center"/>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第四部分  名词解释</w:t>
      </w:r>
    </w:p>
    <w:p>
      <w:pPr>
        <w:ind w:firstLine="640"/>
        <w:rPr>
          <w:rFonts w:hint="eastAsia" w:ascii="仿宋" w:hAnsi="仿宋" w:eastAsia="仿宋" w:cs="仿宋"/>
          <w:color w:val="auto"/>
          <w:sz w:val="31"/>
          <w:szCs w:val="31"/>
        </w:rPr>
      </w:pPr>
      <w:r>
        <w:rPr>
          <w:rFonts w:hint="eastAsia" w:ascii="仿宋" w:hAnsi="仿宋" w:eastAsia="仿宋" w:cs="仿宋"/>
          <w:color w:val="auto"/>
          <w:sz w:val="31"/>
          <w:szCs w:val="31"/>
        </w:rPr>
        <w:t>一、财政拨款收入：指</w:t>
      </w:r>
      <w:r>
        <w:rPr>
          <w:rFonts w:ascii="仿宋" w:hAnsi="仿宋" w:eastAsia="仿宋" w:cs="仿宋"/>
          <w:color w:val="auto"/>
          <w:sz w:val="31"/>
          <w:u w:color="auto"/>
        </w:rPr>
        <w:t xml:space="preserve">百色部门当年拨付的资金。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二、事业收入：指事业单位开展专业业务活动及辅助活动所取得的收入。</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三、经营收入：指事业单位在专业业务活动及其辅助活动之外开展非独立核算经营活动取得的收入。</w:t>
      </w:r>
    </w:p>
    <w:p>
      <w:pPr>
        <w:ind w:firstLine="640"/>
        <w:rPr>
          <w:rFonts w:hint="eastAsia" w:ascii="仿宋" w:hAnsi="仿宋" w:eastAsia="仿宋" w:cs="仿宋"/>
          <w:color w:val="auto"/>
          <w:sz w:val="31"/>
          <w:szCs w:val="31"/>
        </w:rPr>
      </w:pPr>
      <w:r>
        <w:rPr>
          <w:rFonts w:hint="eastAsia" w:ascii="仿宋" w:hAnsi="仿宋" w:eastAsia="仿宋" w:cs="仿宋"/>
          <w:color w:val="auto"/>
          <w:sz w:val="31"/>
          <w:szCs w:val="31"/>
        </w:rPr>
        <w:t>四、其他收入：指除上述“财政拨款收入”“事业收入”“经营收入”等以外的收入。</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五、用事业基金弥补收支差额指事业单位在当年的“财政拨款收入”“事业收入”“经营收入”“其他收入”不足以安排当年支出的情况下，使用非财政拨款结余弥补本年度收支缺口的资金。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六、年初结转和结余：指以前年度尚未完成、结转到本年 按有关规定继续使用的资金。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七、结余分配：指事业单位按规定提取的职工福利基金、事业基金和缴纳的所得税，以及建设单位按规定应交回的基本建设竣工项目结余资金。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八、年末结转和结余：指本年度或以前年度预算安排、因客观条件发生变化无法按原计划实施，需要延迟到以后年度按有关规定继续使用的资金。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九、基本支出：指为保障机构正常运转、完成日常工作任务而发生的人员支出和公用支出。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 xml:space="preserve">十、项目支出：指在基本支出之外为完成特定行政任务和事业发展目标所发生的支出。 </w:t>
      </w:r>
    </w:p>
    <w:p>
      <w:pPr>
        <w:ind w:firstLine="640"/>
        <w:rPr>
          <w:rFonts w:hint="eastAsia" w:ascii="仿宋" w:hAnsi="仿宋" w:eastAsia="仿宋" w:cs="仿宋"/>
          <w:color w:val="auto"/>
          <w:sz w:val="31"/>
          <w:szCs w:val="31"/>
        </w:rPr>
      </w:pPr>
      <w:r>
        <w:rPr>
          <w:rFonts w:hint="eastAsia" w:ascii="仿宋" w:hAnsi="仿宋" w:eastAsia="仿宋" w:cs="仿宋"/>
          <w:color w:val="auto"/>
          <w:sz w:val="31"/>
          <w:szCs w:val="31"/>
        </w:rPr>
        <w:t>十一、经营支出：指事业单位在专业业务活动及其辅助活动之外开展非独立核算经营活动发生的支出。</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十二、“三公”经费：纳入</w:t>
      </w:r>
      <w:r>
        <w:rPr>
          <w:rFonts w:ascii="仿宋" w:hAnsi="仿宋" w:eastAsia="仿宋" w:cs="仿宋"/>
          <w:color w:val="auto"/>
          <w:sz w:val="31"/>
          <w:u w:color="auto"/>
        </w:rPr>
        <w:t xml:space="preserve">百色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20" w:firstLineChars="200"/>
        <w:rPr>
          <w:rFonts w:hint="eastAsia" w:ascii="仿宋" w:hAnsi="仿宋" w:eastAsia="仿宋" w:cs="仿宋"/>
          <w:color w:val="auto"/>
          <w:sz w:val="31"/>
          <w:szCs w:val="31"/>
        </w:rPr>
      </w:pPr>
      <w:r>
        <w:rPr>
          <w:rFonts w:hint="eastAsia" w:ascii="仿宋" w:hAnsi="仿宋" w:eastAsia="仿宋" w:cs="仿宋"/>
          <w:color w:val="auto"/>
          <w:sz w:val="31"/>
          <w:szCs w:val="31"/>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color w:val="auto"/>
        </w:rPr>
      </w:pPr>
    </w:p>
    <w:bookmarkEnd w:id="4"/>
    <w:sectPr>
      <w:pgSz w:w="11906" w:h="16838"/>
      <w:pgMar w:top="1440" w:right="208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8B727B2-0581-4103-B33F-5031125B59CF}"/>
  </w:font>
  <w:font w:name="黑体">
    <w:panose1 w:val="02010609060101010101"/>
    <w:charset w:val="86"/>
    <w:family w:val="auto"/>
    <w:pitch w:val="default"/>
    <w:sig w:usb0="800002BF" w:usb1="38CF7CFA" w:usb2="00000016" w:usb3="00000000" w:csb0="00040001" w:csb1="00000000"/>
    <w:embedRegular r:id="rId2" w:fontKey="{A1B28D20-A962-46A6-89B7-E56A6F3530E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3" w:fontKey="{3E4DC242-4B4D-4072-A4E4-8626D5ED40C3}"/>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embedRegular r:id="rId4" w:fontKey="{A64A68E6-CAF9-4093-8F13-AC9CCA28B119}"/>
  </w:font>
  <w:font w:name="ArialUnicodeMS">
    <w:altName w:val="宋体"/>
    <w:panose1 w:val="00000000000000000000"/>
    <w:charset w:val="86"/>
    <w:family w:val="auto"/>
    <w:pitch w:val="default"/>
    <w:sig w:usb0="00000000" w:usb1="00000000" w:usb2="00000010" w:usb3="00000000" w:csb0="00040000" w:csb1="00000000"/>
    <w:embedRegular r:id="rId5" w:fontKey="{C50992B9-229E-4883-A727-890FFF743C80}"/>
  </w:font>
  <w:font w:name="方正小标宋简体">
    <w:panose1 w:val="02000000000000000000"/>
    <w:charset w:val="86"/>
    <w:family w:val="auto"/>
    <w:pitch w:val="default"/>
    <w:sig w:usb0="00000001" w:usb1="08000000" w:usb2="00000000" w:usb3="00000000" w:csb0="00040000" w:csb1="00000000"/>
    <w:embedRegular r:id="rId6" w:fontKey="{B33FF1C5-CAB5-4E74-BC0B-F76547791C62}"/>
  </w:font>
  <w:font w:name="微软雅黑">
    <w:panose1 w:val="020B0503020204020204"/>
    <w:charset w:val="86"/>
    <w:family w:val="swiss"/>
    <w:pitch w:val="default"/>
    <w:sig w:usb0="80000287" w:usb1="2ACF3C50" w:usb2="00000016" w:usb3="00000000" w:csb0="0004001F" w:csb1="00000000"/>
    <w:embedRegular r:id="rId7" w:fontKey="{594EE6FB-0122-44C7-A7FF-EE86EE0CC45D}"/>
  </w:font>
  <w:font w:name="方正仿宋_GB2312">
    <w:panose1 w:val="02000000000000000000"/>
    <w:charset w:val="86"/>
    <w:family w:val="auto"/>
    <w:pitch w:val="default"/>
    <w:sig w:usb0="A00002BF" w:usb1="184F6CFA" w:usb2="00000012" w:usb3="00000000" w:csb0="00040001" w:csb1="00000000"/>
    <w:embedRegular r:id="rId8" w:fontKey="{71F19A9B-53D7-48BF-B5EC-3F0467F2602F}"/>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77D102"/>
    <w:multiLevelType w:val="multilevel"/>
    <w:tmpl w:val="3277D102"/>
    <w:lvl w:ilvl="0" w:tentative="0">
      <w:start w:val="1"/>
      <w:numFmt w:val="chineseCounting"/>
      <w:suff w:val="nothing"/>
      <w:lvlText w:val="%1、"/>
      <w:lvlJc w:val="left"/>
      <w:pPr>
        <w:tabs>
          <w:tab w:val="left" w:pos="0"/>
        </w:tabs>
        <w:ind w:left="0" w:firstLine="0"/>
      </w:pPr>
      <w:rPr>
        <w:rFonts w:hint="eastAsia" w:ascii="宋体" w:hAnsi="宋体" w:eastAsia="黑体" w:cs="宋体"/>
        <w:sz w:val="32"/>
      </w:rPr>
    </w:lvl>
    <w:lvl w:ilvl="1" w:tentative="0">
      <w:start w:val="1"/>
      <w:numFmt w:val="chineseCounting"/>
      <w:pStyle w:val="3"/>
      <w:suff w:val="nothing"/>
      <w:lvlText w:val="（%2）"/>
      <w:lvlJc w:val="left"/>
      <w:pPr>
        <w:tabs>
          <w:tab w:val="left" w:pos="0"/>
        </w:tabs>
        <w:ind w:left="0" w:firstLine="0"/>
      </w:pPr>
      <w:rPr>
        <w:rFonts w:hint="eastAsia" w:ascii="宋体" w:hAnsi="宋体" w:eastAsia="仿宋" w:cs="宋体"/>
        <w:b/>
        <w:sz w:val="32"/>
      </w:rPr>
    </w:lvl>
    <w:lvl w:ilvl="2" w:tentative="0">
      <w:start w:val="1"/>
      <w:numFmt w:val="decimal"/>
      <w:suff w:val="nothing"/>
      <w:lvlText w:val="%3．"/>
      <w:lvlJc w:val="left"/>
      <w:pPr>
        <w:tabs>
          <w:tab w:val="left" w:pos="0"/>
        </w:tabs>
        <w:ind w:left="0" w:firstLine="0"/>
      </w:pPr>
      <w:rPr>
        <w:rFonts w:hint="eastAsia" w:ascii="Times New Roman" w:hAnsi="Times New Roman" w:eastAsia="仿宋" w:cs="宋体"/>
        <w:b/>
        <w:sz w:val="30"/>
      </w:rPr>
    </w:lvl>
    <w:lvl w:ilvl="3" w:tentative="0">
      <w:start w:val="1"/>
      <w:numFmt w:val="decimal"/>
      <w:suff w:val="nothing"/>
      <w:lvlText w:val="（%4）"/>
      <w:lvlJc w:val="left"/>
      <w:pPr>
        <w:tabs>
          <w:tab w:val="left" w:pos="0"/>
        </w:tabs>
        <w:ind w:left="0" w:firstLine="0"/>
      </w:pPr>
      <w:rPr>
        <w:rFonts w:hint="eastAsia" w:ascii="Times New Roman" w:hAnsi="Times New Roman" w:eastAsia="仿宋" w:cs="宋体"/>
        <w:b/>
        <w:sz w:val="28"/>
      </w:rPr>
    </w:lvl>
    <w:lvl w:ilvl="4" w:tentative="0">
      <w:start w:val="1"/>
      <w:numFmt w:val="decimalEnclosedCircleChinese"/>
      <w:suff w:val="nothing"/>
      <w:lvlText w:val="%5"/>
      <w:lvlJc w:val="left"/>
      <w:pPr>
        <w:ind w:left="0" w:firstLine="402"/>
      </w:pPr>
      <w:rPr>
        <w:rFonts w:hint="eastAsia" w:ascii="宋体" w:hAnsi="宋体" w:eastAsia="宋体" w:cs="宋体"/>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Q0ZGUyYmIxZGI1NDNhNGZjZWI4Mzc3NjA3N2EzYzgifQ=="/>
  </w:docVars>
  <w:rsids>
    <w:rsidRoot w:val="00C9591D"/>
    <w:rsid w:val="00004337"/>
    <w:rsid w:val="001A343B"/>
    <w:rsid w:val="005C6527"/>
    <w:rsid w:val="005D21B5"/>
    <w:rsid w:val="00641570"/>
    <w:rsid w:val="00901EFC"/>
    <w:rsid w:val="00A25D43"/>
    <w:rsid w:val="00A717D4"/>
    <w:rsid w:val="00B561ED"/>
    <w:rsid w:val="00C9591D"/>
    <w:rsid w:val="00E0770D"/>
    <w:rsid w:val="00E73AFE"/>
    <w:rsid w:val="00EB5C43"/>
    <w:rsid w:val="010E1127"/>
    <w:rsid w:val="013C06BC"/>
    <w:rsid w:val="016E54D2"/>
    <w:rsid w:val="01782E3F"/>
    <w:rsid w:val="01C120D0"/>
    <w:rsid w:val="02104022"/>
    <w:rsid w:val="023B4412"/>
    <w:rsid w:val="02DC5CB3"/>
    <w:rsid w:val="032B5FEF"/>
    <w:rsid w:val="0334297A"/>
    <w:rsid w:val="03A52548"/>
    <w:rsid w:val="03BC7E2E"/>
    <w:rsid w:val="04243DB5"/>
    <w:rsid w:val="04BF763A"/>
    <w:rsid w:val="04C904B8"/>
    <w:rsid w:val="04FF1F9F"/>
    <w:rsid w:val="066E1317"/>
    <w:rsid w:val="06BD229F"/>
    <w:rsid w:val="07175632"/>
    <w:rsid w:val="076745CB"/>
    <w:rsid w:val="07CF5DE6"/>
    <w:rsid w:val="087819DE"/>
    <w:rsid w:val="08C03D58"/>
    <w:rsid w:val="0A03621B"/>
    <w:rsid w:val="0A3A1862"/>
    <w:rsid w:val="0A6D26C1"/>
    <w:rsid w:val="0A761D9A"/>
    <w:rsid w:val="0ADD6A6C"/>
    <w:rsid w:val="0AFF2E86"/>
    <w:rsid w:val="0B1F0E32"/>
    <w:rsid w:val="0B776EC0"/>
    <w:rsid w:val="0BBA0474"/>
    <w:rsid w:val="0D0E73B0"/>
    <w:rsid w:val="0D57599F"/>
    <w:rsid w:val="0D83393E"/>
    <w:rsid w:val="0DC42165"/>
    <w:rsid w:val="0E172435"/>
    <w:rsid w:val="0E56100F"/>
    <w:rsid w:val="0EC00B7E"/>
    <w:rsid w:val="0EC266A4"/>
    <w:rsid w:val="0EC56195"/>
    <w:rsid w:val="0F6D029D"/>
    <w:rsid w:val="0F713C26"/>
    <w:rsid w:val="0FDF5034"/>
    <w:rsid w:val="104F1E11"/>
    <w:rsid w:val="11395683"/>
    <w:rsid w:val="119D51A7"/>
    <w:rsid w:val="11A958FA"/>
    <w:rsid w:val="11C20769"/>
    <w:rsid w:val="121328E5"/>
    <w:rsid w:val="122D5139"/>
    <w:rsid w:val="123F4D19"/>
    <w:rsid w:val="12863E8D"/>
    <w:rsid w:val="12883761"/>
    <w:rsid w:val="12F6026F"/>
    <w:rsid w:val="137361BF"/>
    <w:rsid w:val="13C85080"/>
    <w:rsid w:val="15027B80"/>
    <w:rsid w:val="158D63B9"/>
    <w:rsid w:val="16383C52"/>
    <w:rsid w:val="16702E8A"/>
    <w:rsid w:val="16B5089D"/>
    <w:rsid w:val="175005C5"/>
    <w:rsid w:val="181B0BD3"/>
    <w:rsid w:val="181D1E1F"/>
    <w:rsid w:val="182C45CC"/>
    <w:rsid w:val="1862520D"/>
    <w:rsid w:val="189501D2"/>
    <w:rsid w:val="19722A75"/>
    <w:rsid w:val="19D714B0"/>
    <w:rsid w:val="19E71DF4"/>
    <w:rsid w:val="1A547635"/>
    <w:rsid w:val="1A7016AA"/>
    <w:rsid w:val="1AE856E5"/>
    <w:rsid w:val="1C3A1F70"/>
    <w:rsid w:val="1C4E77C9"/>
    <w:rsid w:val="1C6F597C"/>
    <w:rsid w:val="1CC01D49"/>
    <w:rsid w:val="1CDC3779"/>
    <w:rsid w:val="1DAF24EA"/>
    <w:rsid w:val="1DCE4E9C"/>
    <w:rsid w:val="1DEF0B38"/>
    <w:rsid w:val="1E2851F8"/>
    <w:rsid w:val="1E4C5F8A"/>
    <w:rsid w:val="1E6A6411"/>
    <w:rsid w:val="1F0B7BF4"/>
    <w:rsid w:val="1F1D7927"/>
    <w:rsid w:val="1F446F7A"/>
    <w:rsid w:val="20947DAF"/>
    <w:rsid w:val="20A756FA"/>
    <w:rsid w:val="20AC7E9E"/>
    <w:rsid w:val="21735783"/>
    <w:rsid w:val="223A2D60"/>
    <w:rsid w:val="227349F6"/>
    <w:rsid w:val="22B77DB2"/>
    <w:rsid w:val="23447230"/>
    <w:rsid w:val="24466FD8"/>
    <w:rsid w:val="247010E2"/>
    <w:rsid w:val="25597366"/>
    <w:rsid w:val="2561056D"/>
    <w:rsid w:val="25624FED"/>
    <w:rsid w:val="25C66622"/>
    <w:rsid w:val="25CB5E03"/>
    <w:rsid w:val="2624159B"/>
    <w:rsid w:val="26395046"/>
    <w:rsid w:val="26A83F7A"/>
    <w:rsid w:val="270F5DA7"/>
    <w:rsid w:val="272A0E33"/>
    <w:rsid w:val="273D0B66"/>
    <w:rsid w:val="274E4D44"/>
    <w:rsid w:val="27B64A81"/>
    <w:rsid w:val="27DC037F"/>
    <w:rsid w:val="28235F0B"/>
    <w:rsid w:val="288325A9"/>
    <w:rsid w:val="2A7A3E7F"/>
    <w:rsid w:val="2A885BC1"/>
    <w:rsid w:val="2A9071FF"/>
    <w:rsid w:val="2ABA24CE"/>
    <w:rsid w:val="2BEA7520"/>
    <w:rsid w:val="2C513B81"/>
    <w:rsid w:val="2CF47F19"/>
    <w:rsid w:val="2D097FBD"/>
    <w:rsid w:val="2E334A71"/>
    <w:rsid w:val="2EFC1307"/>
    <w:rsid w:val="2F2653C1"/>
    <w:rsid w:val="2FFC72B0"/>
    <w:rsid w:val="30970224"/>
    <w:rsid w:val="316C361E"/>
    <w:rsid w:val="318F6462"/>
    <w:rsid w:val="31A33CBC"/>
    <w:rsid w:val="31E42251"/>
    <w:rsid w:val="32340893"/>
    <w:rsid w:val="332901F1"/>
    <w:rsid w:val="3338220B"/>
    <w:rsid w:val="335A484E"/>
    <w:rsid w:val="345D1EA3"/>
    <w:rsid w:val="362F2524"/>
    <w:rsid w:val="36407D2B"/>
    <w:rsid w:val="36527A5E"/>
    <w:rsid w:val="3684230E"/>
    <w:rsid w:val="36CA3A99"/>
    <w:rsid w:val="37184804"/>
    <w:rsid w:val="372633C5"/>
    <w:rsid w:val="37985945"/>
    <w:rsid w:val="379E11AD"/>
    <w:rsid w:val="37D84221"/>
    <w:rsid w:val="37F76B0F"/>
    <w:rsid w:val="386677F1"/>
    <w:rsid w:val="386F2B4A"/>
    <w:rsid w:val="38710670"/>
    <w:rsid w:val="38B22A36"/>
    <w:rsid w:val="38B642D4"/>
    <w:rsid w:val="39040613"/>
    <w:rsid w:val="39A700C1"/>
    <w:rsid w:val="3A0F2EAC"/>
    <w:rsid w:val="3A3A0F35"/>
    <w:rsid w:val="3ACF694F"/>
    <w:rsid w:val="3AD9074E"/>
    <w:rsid w:val="3B487DD2"/>
    <w:rsid w:val="3BEF7718"/>
    <w:rsid w:val="3C3D701D"/>
    <w:rsid w:val="3CC527C1"/>
    <w:rsid w:val="3D4A76E1"/>
    <w:rsid w:val="3D51281E"/>
    <w:rsid w:val="3DBD6105"/>
    <w:rsid w:val="3DD47A3F"/>
    <w:rsid w:val="3E9055C8"/>
    <w:rsid w:val="3EC314F9"/>
    <w:rsid w:val="3F6A6298"/>
    <w:rsid w:val="3FD77543"/>
    <w:rsid w:val="4033511A"/>
    <w:rsid w:val="40794B35"/>
    <w:rsid w:val="41BB6E00"/>
    <w:rsid w:val="41EC520B"/>
    <w:rsid w:val="42562684"/>
    <w:rsid w:val="42787C0A"/>
    <w:rsid w:val="42B32F81"/>
    <w:rsid w:val="42C46168"/>
    <w:rsid w:val="43374264"/>
    <w:rsid w:val="442742D8"/>
    <w:rsid w:val="44352E99"/>
    <w:rsid w:val="44D8093C"/>
    <w:rsid w:val="452A22D2"/>
    <w:rsid w:val="455813AE"/>
    <w:rsid w:val="456E4E81"/>
    <w:rsid w:val="45921C25"/>
    <w:rsid w:val="460F771A"/>
    <w:rsid w:val="468266D9"/>
    <w:rsid w:val="47A0687C"/>
    <w:rsid w:val="47A143A2"/>
    <w:rsid w:val="47C17CFE"/>
    <w:rsid w:val="48AB197C"/>
    <w:rsid w:val="4A176B9D"/>
    <w:rsid w:val="4A3B6D2F"/>
    <w:rsid w:val="4BAF1783"/>
    <w:rsid w:val="4C123AC0"/>
    <w:rsid w:val="4C373527"/>
    <w:rsid w:val="4C8B3DD4"/>
    <w:rsid w:val="4D041640"/>
    <w:rsid w:val="4D460313"/>
    <w:rsid w:val="4D472FA1"/>
    <w:rsid w:val="4D476A5E"/>
    <w:rsid w:val="4DA92202"/>
    <w:rsid w:val="4E437F61"/>
    <w:rsid w:val="4E477DF6"/>
    <w:rsid w:val="4E73063A"/>
    <w:rsid w:val="4F844CD5"/>
    <w:rsid w:val="4FE65048"/>
    <w:rsid w:val="4FFC0D0F"/>
    <w:rsid w:val="50052FF4"/>
    <w:rsid w:val="5041514D"/>
    <w:rsid w:val="52075749"/>
    <w:rsid w:val="52CA0F7A"/>
    <w:rsid w:val="539D45B7"/>
    <w:rsid w:val="53B1058C"/>
    <w:rsid w:val="541859EC"/>
    <w:rsid w:val="543D36A4"/>
    <w:rsid w:val="544E765F"/>
    <w:rsid w:val="54972199"/>
    <w:rsid w:val="55937A20"/>
    <w:rsid w:val="55AB748F"/>
    <w:rsid w:val="55DD0209"/>
    <w:rsid w:val="55E42029"/>
    <w:rsid w:val="563310BE"/>
    <w:rsid w:val="56666585"/>
    <w:rsid w:val="569A3030"/>
    <w:rsid w:val="56A1616C"/>
    <w:rsid w:val="57541431"/>
    <w:rsid w:val="57ED28E9"/>
    <w:rsid w:val="58112E7E"/>
    <w:rsid w:val="581D4903"/>
    <w:rsid w:val="583214E0"/>
    <w:rsid w:val="58675335"/>
    <w:rsid w:val="58CC1389"/>
    <w:rsid w:val="58D75E75"/>
    <w:rsid w:val="59063EF6"/>
    <w:rsid w:val="59101751"/>
    <w:rsid w:val="59701E26"/>
    <w:rsid w:val="5991139A"/>
    <w:rsid w:val="59E545C2"/>
    <w:rsid w:val="5A674620"/>
    <w:rsid w:val="5A7A6A7D"/>
    <w:rsid w:val="5AA026E6"/>
    <w:rsid w:val="5AF8590C"/>
    <w:rsid w:val="5BB92FBA"/>
    <w:rsid w:val="5C7F0CFE"/>
    <w:rsid w:val="5D1F428F"/>
    <w:rsid w:val="5E59732C"/>
    <w:rsid w:val="5E5F3717"/>
    <w:rsid w:val="5EBB1596"/>
    <w:rsid w:val="5F1F2324"/>
    <w:rsid w:val="5F3F6522"/>
    <w:rsid w:val="5FB57FD0"/>
    <w:rsid w:val="5FE61094"/>
    <w:rsid w:val="601804C5"/>
    <w:rsid w:val="604C7149"/>
    <w:rsid w:val="6057789C"/>
    <w:rsid w:val="60DD4245"/>
    <w:rsid w:val="614D13CA"/>
    <w:rsid w:val="61E3614F"/>
    <w:rsid w:val="61F061FA"/>
    <w:rsid w:val="625255F9"/>
    <w:rsid w:val="634C7460"/>
    <w:rsid w:val="64330CDF"/>
    <w:rsid w:val="64805613"/>
    <w:rsid w:val="64DB0A9B"/>
    <w:rsid w:val="65CD36ED"/>
    <w:rsid w:val="65D42AD7"/>
    <w:rsid w:val="66061B48"/>
    <w:rsid w:val="66FB3677"/>
    <w:rsid w:val="67452B44"/>
    <w:rsid w:val="677C6D9D"/>
    <w:rsid w:val="67D6379C"/>
    <w:rsid w:val="67F41FE9"/>
    <w:rsid w:val="68085778"/>
    <w:rsid w:val="688A4CB2"/>
    <w:rsid w:val="6A3824EC"/>
    <w:rsid w:val="6AD96E0B"/>
    <w:rsid w:val="6B182670"/>
    <w:rsid w:val="6B361121"/>
    <w:rsid w:val="6B3B6738"/>
    <w:rsid w:val="6B6537B4"/>
    <w:rsid w:val="6B7C1B7E"/>
    <w:rsid w:val="6C865790"/>
    <w:rsid w:val="6CCE7137"/>
    <w:rsid w:val="6D090170"/>
    <w:rsid w:val="6D237483"/>
    <w:rsid w:val="6D8C327A"/>
    <w:rsid w:val="6D992FE7"/>
    <w:rsid w:val="6DCD7245"/>
    <w:rsid w:val="6E0340F1"/>
    <w:rsid w:val="6E1D2124"/>
    <w:rsid w:val="6E49116B"/>
    <w:rsid w:val="6E6D2905"/>
    <w:rsid w:val="6EAE1443"/>
    <w:rsid w:val="6EAF582D"/>
    <w:rsid w:val="6F0D4695"/>
    <w:rsid w:val="6F40431D"/>
    <w:rsid w:val="6F563B40"/>
    <w:rsid w:val="71BE777B"/>
    <w:rsid w:val="722C6DDA"/>
    <w:rsid w:val="727367B7"/>
    <w:rsid w:val="72D8486C"/>
    <w:rsid w:val="72E23E9F"/>
    <w:rsid w:val="74DE68E8"/>
    <w:rsid w:val="751F6782"/>
    <w:rsid w:val="758D7B90"/>
    <w:rsid w:val="75CB06B8"/>
    <w:rsid w:val="76353E94"/>
    <w:rsid w:val="76424E1E"/>
    <w:rsid w:val="767F4D5D"/>
    <w:rsid w:val="76BF646F"/>
    <w:rsid w:val="78063C29"/>
    <w:rsid w:val="782C7B34"/>
    <w:rsid w:val="78D43D28"/>
    <w:rsid w:val="78F45A6B"/>
    <w:rsid w:val="7961380D"/>
    <w:rsid w:val="79D93881"/>
    <w:rsid w:val="7A8C079F"/>
    <w:rsid w:val="7B1728DD"/>
    <w:rsid w:val="7B521F16"/>
    <w:rsid w:val="7BBC2F7D"/>
    <w:rsid w:val="7BD55BC8"/>
    <w:rsid w:val="7C0466D2"/>
    <w:rsid w:val="7C134B67"/>
    <w:rsid w:val="7C3A1BEA"/>
    <w:rsid w:val="7C4259AE"/>
    <w:rsid w:val="7CAA1027"/>
    <w:rsid w:val="7CCF4F32"/>
    <w:rsid w:val="7D662CB3"/>
    <w:rsid w:val="7D984F94"/>
    <w:rsid w:val="7E7318ED"/>
    <w:rsid w:val="7EC64112"/>
    <w:rsid w:val="7ECD2C87"/>
    <w:rsid w:val="7F2D0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unhideWhenUsed/>
    <w:qFormat/>
    <w:uiPriority w:val="0"/>
    <w:pPr>
      <w:keepNext/>
      <w:numPr>
        <w:ilvl w:val="1"/>
        <w:numId w:val="1"/>
      </w:numPr>
      <w:spacing w:before="50" w:beforeLines="50"/>
      <w:ind w:firstLine="560"/>
      <w:outlineLvl w:val="1"/>
    </w:pPr>
    <w:rPr>
      <w:rFonts w:eastAsia="楷体"/>
      <w:b/>
      <w:sz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Emphasis"/>
    <w:basedOn w:val="8"/>
    <w:qFormat/>
    <w:uiPriority w:val="0"/>
    <w:rPr>
      <w:i/>
    </w:rPr>
  </w:style>
  <w:style w:type="character" w:styleId="10">
    <w:name w:val="Hyperlink"/>
    <w:basedOn w:val="8"/>
    <w:qFormat/>
    <w:uiPriority w:val="0"/>
    <w:rPr>
      <w:color w:val="0000FF"/>
      <w:u w:val="single"/>
    </w:rPr>
  </w:style>
  <w:style w:type="character" w:customStyle="1" w:styleId="11">
    <w:name w:val="页眉 字符"/>
    <w:basedOn w:val="8"/>
    <w:link w:val="5"/>
    <w:qFormat/>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36</Pages>
  <Words>9392</Words>
  <Characters>12756</Characters>
  <Lines>81</Lines>
  <Paragraphs>22</Paragraphs>
  <TotalTime>13</TotalTime>
  <ScaleCrop>false</ScaleCrop>
  <LinksUpToDate>false</LinksUpToDate>
  <CharactersWithSpaces>13016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妍妍</cp:lastModifiedBy>
  <cp:lastPrinted>2023-10-14T02:05:10Z</cp:lastPrinted>
  <dcterms:modified xsi:type="dcterms:W3CDTF">2023-10-14T04:18:39Z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ABF9D7E7AD77439C9277EF6745CA75FD_13</vt:lpwstr>
  </property>
</Properties>
</file>